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caps/>
          <w:sz w:val="40"/>
          <w:szCs w:val="40"/>
          <w14:shadow w14:blurRad="50800" w14:dist="38100" w14:dir="2700000" w14:sx="100000" w14:sy="100000" w14:kx="0" w14:ky="0" w14:algn="tl">
            <w14:srgbClr w14:val="000000">
              <w14:alpha w14:val="60000"/>
            </w14:srgbClr>
          </w14:shadow>
        </w:rPr>
      </w:pPr>
      <w:r w:rsidRPr="00DF4D02">
        <w:rPr>
          <w:b/>
          <w:caps/>
          <w:sz w:val="40"/>
          <w:szCs w:val="40"/>
          <w14:shadow w14:blurRad="50800" w14:dist="38100" w14:dir="2700000" w14:sx="100000" w14:sy="100000" w14:kx="0" w14:ky="0" w14:algn="tl">
            <w14:srgbClr w14:val="000000">
              <w14:alpha w14:val="60000"/>
            </w14:srgbClr>
          </w14:shadow>
        </w:rPr>
        <w:t>Mesto Levoča</w:t>
      </w: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FD2D9C" w:rsidP="002A617A">
      <w:pPr>
        <w:jc w:val="center"/>
        <w:rPr>
          <w:b/>
          <w:i/>
          <w:sz w:val="32"/>
          <w14:shadow w14:blurRad="50800" w14:dist="38100" w14:dir="2700000" w14:sx="100000" w14:sy="100000" w14:kx="0" w14:ky="0" w14:algn="tl">
            <w14:srgbClr w14:val="000000">
              <w14:alpha w14:val="60000"/>
            </w14:srgbClr>
          </w14:shadow>
        </w:rPr>
      </w:pPr>
      <w:r>
        <w:rPr>
          <w:noProof/>
        </w:rPr>
        <w:drawing>
          <wp:inline distT="0" distB="0" distL="0" distR="0">
            <wp:extent cx="1304925" cy="1343025"/>
            <wp:effectExtent l="19050" t="0" r="9525" b="0"/>
            <wp:docPr id="1" name="Obrázok 1" descr="Erb m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mesta"/>
                    <pic:cNvPicPr>
                      <a:picLocks noChangeAspect="1" noChangeArrowheads="1"/>
                    </pic:cNvPicPr>
                  </pic:nvPicPr>
                  <pic:blipFill>
                    <a:blip r:embed="rId8"/>
                    <a:srcRect/>
                    <a:stretch>
                      <a:fillRect/>
                    </a:stretch>
                  </pic:blipFill>
                  <pic:spPr bwMode="auto">
                    <a:xfrm>
                      <a:off x="0" y="0"/>
                      <a:ext cx="1304925" cy="1343025"/>
                    </a:xfrm>
                    <a:prstGeom prst="rect">
                      <a:avLst/>
                    </a:prstGeom>
                    <a:noFill/>
                    <a:ln w="9525">
                      <a:noFill/>
                      <a:miter lim="800000"/>
                      <a:headEnd/>
                      <a:tailEnd/>
                    </a:ln>
                  </pic:spPr>
                </pic:pic>
              </a:graphicData>
            </a:graphic>
          </wp:inline>
        </w:drawing>
      </w: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sz w:val="32"/>
          <w14:shadow w14:blurRad="50800" w14:dist="38100" w14:dir="2700000" w14:sx="100000" w14:sy="100000" w14:kx="0" w14:ky="0" w14:algn="tl">
            <w14:srgbClr w14:val="000000">
              <w14:alpha w14:val="60000"/>
            </w14:srgbClr>
          </w14:shadow>
        </w:rPr>
      </w:pPr>
    </w:p>
    <w:p w:rsidR="002A617A" w:rsidRPr="00DF4D02" w:rsidRDefault="002A617A" w:rsidP="002A617A">
      <w:pPr>
        <w:jc w:val="center"/>
        <w:rPr>
          <w:b/>
          <w:i/>
          <w:sz w:val="32"/>
          <w14:shadow w14:blurRad="50800" w14:dist="38100" w14:dir="2700000" w14:sx="100000" w14:sy="100000" w14:kx="0" w14:ky="0" w14:algn="tl">
            <w14:srgbClr w14:val="000000">
              <w14:alpha w14:val="60000"/>
            </w14:srgbClr>
          </w14:shadow>
        </w:rPr>
      </w:pPr>
      <w:r w:rsidRPr="00DF4D02">
        <w:rPr>
          <w:b/>
          <w:i/>
          <w:sz w:val="32"/>
          <w14:shadow w14:blurRad="50800" w14:dist="38100" w14:dir="2700000" w14:sx="100000" w14:sy="100000" w14:kx="0" w14:ky="0" w14:algn="tl">
            <w14:srgbClr w14:val="000000">
              <w14:alpha w14:val="60000"/>
            </w14:srgbClr>
          </w14:shadow>
        </w:rPr>
        <w:t>ROZPOČET MESTA LEVOČA NA ROKY   20</w:t>
      </w:r>
      <w:r w:rsidR="004849E3">
        <w:rPr>
          <w:b/>
          <w:i/>
          <w:sz w:val="32"/>
          <w14:shadow w14:blurRad="50800" w14:dist="38100" w14:dir="2700000" w14:sx="100000" w14:sy="100000" w14:kx="0" w14:ky="0" w14:algn="tl">
            <w14:srgbClr w14:val="000000">
              <w14:alpha w14:val="60000"/>
            </w14:srgbClr>
          </w14:shadow>
        </w:rPr>
        <w:t>2</w:t>
      </w:r>
      <w:r w:rsidR="00A456D4">
        <w:rPr>
          <w:b/>
          <w:i/>
          <w:sz w:val="32"/>
          <w14:shadow w14:blurRad="50800" w14:dist="38100" w14:dir="2700000" w14:sx="100000" w14:sy="100000" w14:kx="0" w14:ky="0" w14:algn="tl">
            <w14:srgbClr w14:val="000000">
              <w14:alpha w14:val="60000"/>
            </w14:srgbClr>
          </w14:shadow>
        </w:rPr>
        <w:t>5</w:t>
      </w:r>
      <w:r w:rsidRPr="00DF4D02">
        <w:rPr>
          <w:b/>
          <w:i/>
          <w:sz w:val="32"/>
          <w14:shadow w14:blurRad="50800" w14:dist="38100" w14:dir="2700000" w14:sx="100000" w14:sy="100000" w14:kx="0" w14:ky="0" w14:algn="tl">
            <w14:srgbClr w14:val="000000">
              <w14:alpha w14:val="60000"/>
            </w14:srgbClr>
          </w14:shadow>
        </w:rPr>
        <w:t xml:space="preserve"> -</w:t>
      </w:r>
      <w:r w:rsidR="007920E5">
        <w:rPr>
          <w:b/>
          <w:i/>
          <w:sz w:val="32"/>
          <w14:shadow w14:blurRad="50800" w14:dist="38100" w14:dir="2700000" w14:sx="100000" w14:sy="100000" w14:kx="0" w14:ky="0" w14:algn="tl">
            <w14:srgbClr w14:val="000000">
              <w14:alpha w14:val="60000"/>
            </w14:srgbClr>
          </w14:shadow>
        </w:rPr>
        <w:t>20</w:t>
      </w:r>
      <w:r w:rsidR="00A456D4">
        <w:rPr>
          <w:b/>
          <w:i/>
          <w:sz w:val="32"/>
          <w14:shadow w14:blurRad="50800" w14:dist="38100" w14:dir="2700000" w14:sx="100000" w14:sy="100000" w14:kx="0" w14:ky="0" w14:algn="tl">
            <w14:srgbClr w14:val="000000">
              <w14:alpha w14:val="60000"/>
            </w14:srgbClr>
          </w14:shadow>
        </w:rPr>
        <w:t>27</w:t>
      </w:r>
    </w:p>
    <w:p w:rsidR="002A617A" w:rsidRPr="001546E4" w:rsidRDefault="002A617A" w:rsidP="002A617A"/>
    <w:p w:rsidR="002A617A" w:rsidRPr="00D56249" w:rsidRDefault="002A617A" w:rsidP="002A617A">
      <w:pPr>
        <w:jc w:val="center"/>
        <w:rPr>
          <w:b/>
          <w:bCs/>
          <w:i/>
          <w:sz w:val="32"/>
          <w:szCs w:val="32"/>
        </w:rPr>
      </w:pPr>
      <w:r w:rsidRPr="00D56249">
        <w:rPr>
          <w:b/>
          <w:bCs/>
          <w:i/>
          <w:sz w:val="32"/>
          <w:szCs w:val="32"/>
        </w:rPr>
        <w:t>Predkladacia správa</w:t>
      </w:r>
    </w:p>
    <w:p w:rsidR="002A617A" w:rsidRPr="001546E4" w:rsidRDefault="002A617A" w:rsidP="002A617A">
      <w:pPr>
        <w:jc w:val="center"/>
      </w:pPr>
    </w:p>
    <w:p w:rsidR="002A617A" w:rsidRPr="001546E4" w:rsidRDefault="002A617A" w:rsidP="002A617A"/>
    <w:p w:rsidR="002A617A" w:rsidRPr="001546E4" w:rsidRDefault="002A617A" w:rsidP="002A617A"/>
    <w:p w:rsidR="002A617A" w:rsidRPr="001546E4" w:rsidRDefault="002A617A" w:rsidP="002A617A">
      <w:pPr>
        <w:jc w:val="center"/>
      </w:pPr>
    </w:p>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 w:rsidR="002A617A" w:rsidRPr="001546E4" w:rsidRDefault="002A617A" w:rsidP="002A617A">
      <w:pPr>
        <w:rPr>
          <w:sz w:val="28"/>
        </w:rPr>
      </w:pPr>
      <w:r w:rsidRPr="001546E4">
        <w:rPr>
          <w:sz w:val="28"/>
        </w:rPr>
        <w:t>Schválené Mestským zastupiteľstvom</w:t>
      </w:r>
    </w:p>
    <w:p w:rsidR="002A617A" w:rsidRPr="001546E4" w:rsidRDefault="002A617A" w:rsidP="002A617A">
      <w:pPr>
        <w:rPr>
          <w:sz w:val="28"/>
        </w:rPr>
      </w:pPr>
      <w:r w:rsidRPr="001546E4">
        <w:rPr>
          <w:sz w:val="28"/>
        </w:rPr>
        <w:t xml:space="preserve">v Levoči dňa  </w:t>
      </w:r>
    </w:p>
    <w:p w:rsidR="002A617A" w:rsidRPr="001546E4" w:rsidRDefault="002A617A" w:rsidP="002A617A">
      <w:pPr>
        <w:rPr>
          <w:sz w:val="28"/>
        </w:rPr>
      </w:pPr>
      <w:r w:rsidRPr="001546E4">
        <w:rPr>
          <w:sz w:val="28"/>
        </w:rPr>
        <w:t xml:space="preserve">uznesením č.  </w:t>
      </w:r>
    </w:p>
    <w:p w:rsidR="004A54F7" w:rsidRDefault="002A617A" w:rsidP="002A617A">
      <w:pPr>
        <w:rPr>
          <w:sz w:val="28"/>
        </w:rPr>
        <w:sectPr w:rsidR="004A54F7" w:rsidSect="00C65CD3">
          <w:footerReference w:type="even" r:id="rId9"/>
          <w:pgSz w:w="11906" w:h="16838"/>
          <w:pgMar w:top="1417" w:right="1417" w:bottom="1417" w:left="1417" w:header="708" w:footer="708" w:gutter="0"/>
          <w:cols w:space="708"/>
          <w:docGrid w:linePitch="360"/>
        </w:sectPr>
      </w:pPr>
      <w:r w:rsidRPr="001546E4">
        <w:rPr>
          <w:sz w:val="28"/>
        </w:rPr>
        <w:t>s účinnosťou:  1.1.</w:t>
      </w:r>
      <w:r w:rsidR="005E131E">
        <w:rPr>
          <w:sz w:val="28"/>
        </w:rPr>
        <w:t>20</w:t>
      </w:r>
      <w:r w:rsidR="002D2835">
        <w:rPr>
          <w:sz w:val="28"/>
        </w:rPr>
        <w:t>2</w:t>
      </w:r>
      <w:r w:rsidR="00A456D4">
        <w:rPr>
          <w:sz w:val="28"/>
        </w:rPr>
        <w:t>5</w:t>
      </w:r>
    </w:p>
    <w:p w:rsidR="00CC6421" w:rsidRDefault="00CC6421" w:rsidP="00CC6421">
      <w:pPr>
        <w:pStyle w:val="Default"/>
        <w:rPr>
          <w:b/>
          <w:sz w:val="28"/>
          <w:szCs w:val="28"/>
        </w:rPr>
      </w:pPr>
      <w:r>
        <w:rPr>
          <w:b/>
          <w:sz w:val="28"/>
          <w:szCs w:val="28"/>
        </w:rPr>
        <w:lastRenderedPageBreak/>
        <w:t>Úvod</w:t>
      </w:r>
    </w:p>
    <w:p w:rsidR="002A617A" w:rsidRDefault="002A617A" w:rsidP="00CC6421">
      <w:pPr>
        <w:pStyle w:val="Default"/>
        <w:rPr>
          <w:b/>
          <w:sz w:val="28"/>
          <w:szCs w:val="28"/>
        </w:rPr>
      </w:pPr>
    </w:p>
    <w:p w:rsidR="002A617A" w:rsidRPr="00656BC0" w:rsidRDefault="004B2B23" w:rsidP="00C110D7">
      <w:pPr>
        <w:pStyle w:val="ZkladntextIMP"/>
        <w:widowControl/>
        <w:spacing w:line="360" w:lineRule="auto"/>
        <w:rPr>
          <w:color w:val="FF0000"/>
          <w:lang w:val="sk-SK"/>
        </w:rPr>
      </w:pPr>
      <w:r>
        <w:tab/>
      </w:r>
      <w:r w:rsidR="002A617A" w:rsidRPr="00C1318B">
        <w:rPr>
          <w:lang w:val="sk-SK"/>
        </w:rPr>
        <w:t>Tento dokument upravuje rozpočet Mesta Levoča na roky 20</w:t>
      </w:r>
      <w:r w:rsidR="002D2835">
        <w:rPr>
          <w:lang w:val="sk-SK"/>
        </w:rPr>
        <w:t>2</w:t>
      </w:r>
      <w:r w:rsidR="00A456D4">
        <w:rPr>
          <w:lang w:val="sk-SK"/>
        </w:rPr>
        <w:t>5</w:t>
      </w:r>
      <w:r w:rsidR="002A617A" w:rsidRPr="00C1318B">
        <w:rPr>
          <w:lang w:val="sk-SK"/>
        </w:rPr>
        <w:t>-20</w:t>
      </w:r>
      <w:r w:rsidR="00847EE4">
        <w:rPr>
          <w:lang w:val="sk-SK"/>
        </w:rPr>
        <w:t>2</w:t>
      </w:r>
      <w:r w:rsidR="00A456D4">
        <w:rPr>
          <w:lang w:val="sk-SK"/>
        </w:rPr>
        <w:t>7</w:t>
      </w:r>
      <w:r w:rsidR="002A617A" w:rsidRPr="00C1318B">
        <w:rPr>
          <w:lang w:val="sk-SK"/>
        </w:rPr>
        <w:t xml:space="preserve">  v súlade so zákonom č. 583/2004 </w:t>
      </w:r>
      <w:proofErr w:type="spellStart"/>
      <w:r w:rsidR="002A617A" w:rsidRPr="00C1318B">
        <w:rPr>
          <w:lang w:val="sk-SK"/>
        </w:rPr>
        <w:t>Z.z</w:t>
      </w:r>
      <w:proofErr w:type="spellEnd"/>
      <w:r w:rsidR="002A617A" w:rsidRPr="00C1318B">
        <w:rPr>
          <w:lang w:val="sk-SK"/>
        </w:rPr>
        <w:t xml:space="preserve">. o rozpočtových pravidlách územnej samosprávy a o zmene a doplnení niektorých zákonov, so zákonom č. 369/1990 Zb. o obecnom zriadení, s nariadením vlády SR č. 668/2004 v znení nariadenia </w:t>
      </w:r>
      <w:r w:rsidR="00CE16A2">
        <w:rPr>
          <w:lang w:val="sk-SK"/>
        </w:rPr>
        <w:t>356/2017</w:t>
      </w:r>
      <w:r w:rsidR="002A617A" w:rsidRPr="00C1318B">
        <w:rPr>
          <w:lang w:val="sk-SK"/>
        </w:rPr>
        <w:t xml:space="preserve"> rozdeľovaní výnosu dane z príjmov územnej samospráve</w:t>
      </w:r>
      <w:r w:rsidR="00501323">
        <w:rPr>
          <w:lang w:val="sk-SK"/>
        </w:rPr>
        <w:t>.</w:t>
      </w:r>
    </w:p>
    <w:p w:rsidR="00FD5136" w:rsidRDefault="002A617A" w:rsidP="00C110D7">
      <w:pPr>
        <w:pStyle w:val="ZkladntextIMP"/>
        <w:widowControl/>
        <w:spacing w:line="360" w:lineRule="auto"/>
        <w:rPr>
          <w:lang w:val="sk-SK"/>
        </w:rPr>
      </w:pPr>
      <w:r w:rsidRPr="00C1318B">
        <w:rPr>
          <w:lang w:val="sk-SK"/>
        </w:rPr>
        <w:tab/>
        <w:t>Stanoveniu rozpočtu príjmov na rok 20</w:t>
      </w:r>
      <w:r w:rsidR="002D2835">
        <w:rPr>
          <w:lang w:val="sk-SK"/>
        </w:rPr>
        <w:t>2</w:t>
      </w:r>
      <w:r w:rsidR="005A4727">
        <w:rPr>
          <w:lang w:val="sk-SK"/>
        </w:rPr>
        <w:t>5</w:t>
      </w:r>
      <w:r w:rsidRPr="00C1318B">
        <w:rPr>
          <w:lang w:val="sk-SK"/>
        </w:rPr>
        <w:t xml:space="preserve"> predchádzala analýza príjmových možností mesta v n</w:t>
      </w:r>
      <w:r w:rsidR="005139FB">
        <w:rPr>
          <w:lang w:val="sk-SK"/>
        </w:rPr>
        <w:t>ad</w:t>
      </w:r>
      <w:r w:rsidRPr="00C1318B">
        <w:rPr>
          <w:lang w:val="sk-SK"/>
        </w:rPr>
        <w:t>väznosti na fiškálnu decentralizáciu, pravidla financovania originálnych a prenesených kompetencií a v n</w:t>
      </w:r>
      <w:r w:rsidR="005139FB">
        <w:rPr>
          <w:lang w:val="sk-SK"/>
        </w:rPr>
        <w:t>ad</w:t>
      </w:r>
      <w:r w:rsidRPr="00C1318B">
        <w:rPr>
          <w:lang w:val="sk-SK"/>
        </w:rPr>
        <w:t>v</w:t>
      </w:r>
      <w:r w:rsidR="005139FB">
        <w:rPr>
          <w:lang w:val="sk-SK"/>
        </w:rPr>
        <w:t>ä</w:t>
      </w:r>
      <w:r w:rsidRPr="00C1318B">
        <w:rPr>
          <w:lang w:val="sk-SK"/>
        </w:rPr>
        <w:t>znosti na vlastné príjmy mesta ako zdroja krytia bežných a kapitálových výdavkov. Príjmy mesta z miestnych daní a miestneho poplatku sú stanovené s ohľadom na ich možnú likviditu, ako aj likviditu daňových a ostatných pohľadávok mesta k 31.12.20</w:t>
      </w:r>
      <w:r w:rsidR="002D2835">
        <w:rPr>
          <w:lang w:val="sk-SK"/>
        </w:rPr>
        <w:t>2</w:t>
      </w:r>
      <w:r w:rsidR="00A456D4">
        <w:rPr>
          <w:lang w:val="sk-SK"/>
        </w:rPr>
        <w:t>5</w:t>
      </w:r>
      <w:r w:rsidR="00C110D7">
        <w:rPr>
          <w:lang w:val="sk-SK"/>
        </w:rPr>
        <w:t>.</w:t>
      </w:r>
    </w:p>
    <w:p w:rsidR="002A617A" w:rsidRPr="00C1318B" w:rsidRDefault="002A617A" w:rsidP="00C110D7">
      <w:pPr>
        <w:pStyle w:val="ZkladntextIMP"/>
        <w:widowControl/>
        <w:spacing w:line="360" w:lineRule="auto"/>
        <w:rPr>
          <w:lang w:val="sk-SK"/>
        </w:rPr>
      </w:pPr>
      <w:r w:rsidRPr="00C1318B">
        <w:rPr>
          <w:lang w:val="sk-SK"/>
        </w:rPr>
        <w:tab/>
        <w:t>Rozpočet bežných výdavkov je zosúladený s príjmovými možnosťami mesta. Rozpočet miezd pracovníkov mestského úradu a príspevkových organi</w:t>
      </w:r>
      <w:r w:rsidR="009C5DF0">
        <w:rPr>
          <w:lang w:val="sk-SK"/>
        </w:rPr>
        <w:t>zácií je stanovený podľa zákona</w:t>
      </w:r>
      <w:r w:rsidRPr="00C1318B">
        <w:rPr>
          <w:lang w:val="sk-SK"/>
        </w:rPr>
        <w:t xml:space="preserve"> č.553/2003 Z. z. o odmeňovaní niektorých zamestnancov pri výkone práce vo verejnom záujme a o zmene a doplnení niektorých zákonov. </w:t>
      </w:r>
    </w:p>
    <w:p w:rsidR="00CC6421" w:rsidRPr="002A617A" w:rsidRDefault="006D74D4" w:rsidP="002A617A">
      <w:pPr>
        <w:pStyle w:val="Default"/>
      </w:pPr>
      <w:r>
        <w:br w:type="page"/>
      </w:r>
      <w:r w:rsidR="00EC12DB" w:rsidRPr="00EC12DB">
        <w:rPr>
          <w:b/>
          <w:sz w:val="28"/>
          <w:szCs w:val="28"/>
        </w:rPr>
        <w:lastRenderedPageBreak/>
        <w:t>1</w:t>
      </w:r>
      <w:r w:rsidR="00B5399B">
        <w:rPr>
          <w:b/>
          <w:sz w:val="28"/>
          <w:szCs w:val="28"/>
        </w:rPr>
        <w:t xml:space="preserve"> </w:t>
      </w:r>
      <w:r w:rsidRPr="006D74D4">
        <w:rPr>
          <w:b/>
          <w:sz w:val="28"/>
          <w:szCs w:val="28"/>
        </w:rPr>
        <w:t xml:space="preserve">Návrh rozpočtu </w:t>
      </w:r>
      <w:r w:rsidR="00164BD5">
        <w:rPr>
          <w:b/>
          <w:sz w:val="28"/>
          <w:szCs w:val="28"/>
        </w:rPr>
        <w:t>20</w:t>
      </w:r>
      <w:r w:rsidR="00B5399B">
        <w:rPr>
          <w:b/>
          <w:sz w:val="28"/>
          <w:szCs w:val="28"/>
        </w:rPr>
        <w:t>2</w:t>
      </w:r>
      <w:r w:rsidR="00C95FB5">
        <w:rPr>
          <w:b/>
          <w:sz w:val="28"/>
          <w:szCs w:val="28"/>
        </w:rPr>
        <w:t>5</w:t>
      </w:r>
    </w:p>
    <w:p w:rsidR="00A33C87" w:rsidRPr="00C47C96" w:rsidRDefault="00A33C87" w:rsidP="006D74D4">
      <w:pPr>
        <w:pStyle w:val="Default"/>
        <w:spacing w:before="240" w:line="360" w:lineRule="auto"/>
        <w:ind w:firstLine="357"/>
        <w:jc w:val="both"/>
        <w:rPr>
          <w:b/>
          <w:color w:val="auto"/>
        </w:rPr>
      </w:pPr>
      <w:r w:rsidRPr="00C47C96">
        <w:rPr>
          <w:b/>
          <w:color w:val="auto"/>
        </w:rPr>
        <w:t xml:space="preserve">Východiská rozpočtu </w:t>
      </w:r>
    </w:p>
    <w:p w:rsidR="00D029F9" w:rsidRPr="00C47C96" w:rsidRDefault="006C16AC" w:rsidP="008A6A8B">
      <w:pPr>
        <w:pStyle w:val="Default"/>
        <w:spacing w:before="240" w:line="360" w:lineRule="auto"/>
        <w:ind w:firstLine="357"/>
        <w:jc w:val="both"/>
        <w:rPr>
          <w:color w:val="auto"/>
        </w:rPr>
      </w:pPr>
      <w:r w:rsidRPr="00C47C96">
        <w:rPr>
          <w:color w:val="auto"/>
        </w:rPr>
        <w:t>Zostavenie rozpočtu na roky 202</w:t>
      </w:r>
      <w:r w:rsidR="00D029F9" w:rsidRPr="00C47C96">
        <w:rPr>
          <w:color w:val="auto"/>
        </w:rPr>
        <w:t xml:space="preserve">5 -2027 bolo výrazne ovplyvnené zmenou nariadenia vlády SR č.668/2004 </w:t>
      </w:r>
      <w:proofErr w:type="spellStart"/>
      <w:r w:rsidR="00D029F9" w:rsidRPr="00C47C96">
        <w:rPr>
          <w:color w:val="auto"/>
        </w:rPr>
        <w:t>Z.z</w:t>
      </w:r>
      <w:proofErr w:type="spellEnd"/>
      <w:r w:rsidR="00D029F9" w:rsidRPr="00C47C96">
        <w:rPr>
          <w:color w:val="auto"/>
        </w:rPr>
        <w:t>. o rozdeľovaní výnosu dane z príjmov územnej samospráve.</w:t>
      </w:r>
      <w:r w:rsidR="008A2ACF" w:rsidRPr="00C47C96">
        <w:rPr>
          <w:color w:val="auto"/>
        </w:rPr>
        <w:t xml:space="preserve"> </w:t>
      </w:r>
      <w:r w:rsidR="00D029F9" w:rsidRPr="00C47C96">
        <w:rPr>
          <w:color w:val="auto"/>
        </w:rPr>
        <w:t>Došlo k zmene financovania materských škôl, ktoré budú od roku 2025 financované zo štátneho rozpočtu a nie z rozpočtu samospráv. Zmena nariadenia vlády pre nás predstavuje výpadok príjmov z podielových daní na úrovni cca 241 000 eur. Ďalší výpadok tohto prímu je spôsobený vyplácaním daňového bonusu. Celkovo tak mesto čelí masívnemu výpadku príjmu. Tým zmenám je prispôsobený aj tento návrh rozpočtu, ktorý počíta s výrazným poklesom výdavkov</w:t>
      </w:r>
      <w:r w:rsidR="00C47C96" w:rsidRPr="00C47C96">
        <w:rPr>
          <w:color w:val="auto"/>
        </w:rPr>
        <w:t xml:space="preserve"> na niektorých položkách.</w:t>
      </w:r>
      <w:r w:rsidR="00D029F9" w:rsidRPr="00C47C96">
        <w:rPr>
          <w:color w:val="auto"/>
        </w:rPr>
        <w:t xml:space="preserve">        </w:t>
      </w:r>
    </w:p>
    <w:p w:rsidR="006D50E6" w:rsidRPr="00C47C96" w:rsidRDefault="008A6A8B" w:rsidP="00611169">
      <w:pPr>
        <w:spacing w:line="360" w:lineRule="auto"/>
        <w:jc w:val="both"/>
      </w:pPr>
      <w:r w:rsidRPr="00C47C96">
        <w:rPr>
          <w:b/>
        </w:rPr>
        <w:tab/>
      </w:r>
      <w:r w:rsidR="006D50E6" w:rsidRPr="00C47C96">
        <w:br w:type="page"/>
      </w:r>
    </w:p>
    <w:p w:rsidR="00A1064C" w:rsidRPr="00DE6E4E" w:rsidRDefault="00CF040D" w:rsidP="00CF040D">
      <w:pPr>
        <w:pStyle w:val="Default"/>
        <w:spacing w:before="240" w:line="360" w:lineRule="auto"/>
        <w:ind w:firstLine="357"/>
        <w:jc w:val="both"/>
        <w:rPr>
          <w:b/>
          <w:color w:val="auto"/>
        </w:rPr>
      </w:pPr>
      <w:r w:rsidRPr="00DE6E4E">
        <w:rPr>
          <w:b/>
          <w:color w:val="auto"/>
        </w:rPr>
        <w:lastRenderedPageBreak/>
        <w:t>Rozpočet 20</w:t>
      </w:r>
      <w:r w:rsidR="00B5399B" w:rsidRPr="00DE6E4E">
        <w:rPr>
          <w:b/>
          <w:color w:val="auto"/>
        </w:rPr>
        <w:t>2</w:t>
      </w:r>
      <w:r w:rsidR="00DE6E4E">
        <w:rPr>
          <w:b/>
          <w:color w:val="auto"/>
        </w:rPr>
        <w:t>5</w:t>
      </w:r>
      <w:r w:rsidRPr="00DE6E4E">
        <w:rPr>
          <w:b/>
          <w:color w:val="auto"/>
        </w:rPr>
        <w:t>-20</w:t>
      </w:r>
      <w:r w:rsidR="002F4766" w:rsidRPr="00DE6E4E">
        <w:rPr>
          <w:b/>
          <w:color w:val="auto"/>
        </w:rPr>
        <w:t>2</w:t>
      </w:r>
      <w:r w:rsidR="00DE6E4E">
        <w:rPr>
          <w:b/>
          <w:color w:val="auto"/>
        </w:rPr>
        <w:t>7</w:t>
      </w:r>
    </w:p>
    <w:p w:rsidR="006D74D4" w:rsidRDefault="006D74D4" w:rsidP="001529B9">
      <w:pPr>
        <w:pStyle w:val="Default"/>
        <w:spacing w:before="240" w:line="360" w:lineRule="auto"/>
        <w:ind w:firstLine="709"/>
        <w:jc w:val="both"/>
        <w:rPr>
          <w:color w:val="auto"/>
        </w:rPr>
      </w:pPr>
      <w:r w:rsidRPr="00DE6E4E">
        <w:rPr>
          <w:color w:val="auto"/>
        </w:rPr>
        <w:t>Návrh rozpočtu na rok 20</w:t>
      </w:r>
      <w:r w:rsidR="00B5399B" w:rsidRPr="00DE6E4E">
        <w:rPr>
          <w:color w:val="auto"/>
        </w:rPr>
        <w:t>2</w:t>
      </w:r>
      <w:r w:rsidR="00DE6E4E" w:rsidRPr="00DE6E4E">
        <w:rPr>
          <w:color w:val="auto"/>
        </w:rPr>
        <w:t>5</w:t>
      </w:r>
      <w:r w:rsidRPr="00DE6E4E">
        <w:rPr>
          <w:color w:val="auto"/>
        </w:rPr>
        <w:t xml:space="preserve"> je po započítaní finančných </w:t>
      </w:r>
      <w:r w:rsidR="00367F32" w:rsidRPr="00DE6E4E">
        <w:rPr>
          <w:color w:val="auto"/>
        </w:rPr>
        <w:t>operácií</w:t>
      </w:r>
      <w:r w:rsidRPr="00DE6E4E">
        <w:rPr>
          <w:color w:val="auto"/>
        </w:rPr>
        <w:t xml:space="preserve"> vyrovnaný. Bežný rozpočet </w:t>
      </w:r>
      <w:r w:rsidR="00FD5136" w:rsidRPr="00DE6E4E">
        <w:rPr>
          <w:color w:val="auto"/>
        </w:rPr>
        <w:t>je</w:t>
      </w:r>
      <w:r w:rsidRPr="00DE6E4E">
        <w:rPr>
          <w:color w:val="auto"/>
        </w:rPr>
        <w:t xml:space="preserve"> </w:t>
      </w:r>
      <w:r w:rsidR="008D06AF" w:rsidRPr="00DE6E4E">
        <w:rPr>
          <w:color w:val="auto"/>
        </w:rPr>
        <w:t>prebytkový</w:t>
      </w:r>
      <w:r w:rsidR="00711950" w:rsidRPr="00DE6E4E">
        <w:rPr>
          <w:color w:val="auto"/>
        </w:rPr>
        <w:t xml:space="preserve"> a to vo výške </w:t>
      </w:r>
      <w:r w:rsidR="00B37674">
        <w:rPr>
          <w:color w:val="auto"/>
        </w:rPr>
        <w:t>422 373</w:t>
      </w:r>
      <w:r w:rsidR="00711950" w:rsidRPr="00DE6E4E">
        <w:rPr>
          <w:color w:val="auto"/>
        </w:rPr>
        <w:t xml:space="preserve"> eur.</w:t>
      </w:r>
      <w:r w:rsidR="00DC2EBE" w:rsidRPr="00DE6E4E">
        <w:rPr>
          <w:color w:val="auto"/>
        </w:rPr>
        <w:t xml:space="preserve"> </w:t>
      </w:r>
      <w:r w:rsidR="008D06AF" w:rsidRPr="00DE6E4E">
        <w:rPr>
          <w:color w:val="auto"/>
        </w:rPr>
        <w:t>Výška prebytku bežného rozpočtu nám neumožňuje splácať istiny úverov v plnej výške. Preto na splátky bude použitý aj</w:t>
      </w:r>
      <w:r w:rsidR="00DE6E4E" w:rsidRPr="00DE6E4E">
        <w:rPr>
          <w:color w:val="auto"/>
        </w:rPr>
        <w:t xml:space="preserve"> investičný fond</w:t>
      </w:r>
      <w:r w:rsidR="008D06AF" w:rsidRPr="00DE6E4E">
        <w:rPr>
          <w:color w:val="auto"/>
        </w:rPr>
        <w:t>.</w:t>
      </w:r>
      <w:r w:rsidR="00DC2EBE" w:rsidRPr="00DE6E4E">
        <w:rPr>
          <w:color w:val="auto"/>
        </w:rPr>
        <w:t xml:space="preserve"> </w:t>
      </w:r>
      <w:r w:rsidR="00711950" w:rsidRPr="00DE6E4E">
        <w:rPr>
          <w:color w:val="auto"/>
        </w:rPr>
        <w:t xml:space="preserve">Schodok kapitálového rozpočtu je </w:t>
      </w:r>
      <w:r w:rsidR="00DE6E4E" w:rsidRPr="00DE6E4E">
        <w:rPr>
          <w:color w:val="auto"/>
        </w:rPr>
        <w:t>5 852 333</w:t>
      </w:r>
      <w:r w:rsidR="00711950" w:rsidRPr="00DE6E4E">
        <w:rPr>
          <w:color w:val="auto"/>
        </w:rPr>
        <w:t xml:space="preserve"> eur. </w:t>
      </w:r>
      <w:r w:rsidRPr="00DE6E4E">
        <w:rPr>
          <w:color w:val="auto"/>
        </w:rPr>
        <w:t xml:space="preserve">Návrh rozpočtu bez finančných </w:t>
      </w:r>
      <w:r w:rsidR="00367F32" w:rsidRPr="00DE6E4E">
        <w:rPr>
          <w:color w:val="auto"/>
        </w:rPr>
        <w:t>operácií</w:t>
      </w:r>
      <w:r w:rsidR="00A33404" w:rsidRPr="00DE6E4E">
        <w:rPr>
          <w:color w:val="auto"/>
        </w:rPr>
        <w:t xml:space="preserve"> je teda </w:t>
      </w:r>
      <w:r w:rsidR="00BD6583" w:rsidRPr="00DE6E4E">
        <w:rPr>
          <w:b/>
          <w:color w:val="auto"/>
        </w:rPr>
        <w:t>schodkový</w:t>
      </w:r>
      <w:r w:rsidR="00D516F4" w:rsidRPr="00DE6E4E">
        <w:rPr>
          <w:b/>
          <w:color w:val="auto"/>
        </w:rPr>
        <w:t xml:space="preserve"> </w:t>
      </w:r>
      <w:r w:rsidRPr="00DE6E4E">
        <w:rPr>
          <w:color w:val="auto"/>
        </w:rPr>
        <w:t xml:space="preserve">a to výške </w:t>
      </w:r>
      <w:r w:rsidR="00DE6E4E" w:rsidRPr="00DE6E4E">
        <w:rPr>
          <w:b/>
          <w:color w:val="auto"/>
        </w:rPr>
        <w:t>5 429 960</w:t>
      </w:r>
      <w:r w:rsidR="00711950" w:rsidRPr="00DE6E4E">
        <w:rPr>
          <w:color w:val="auto"/>
        </w:rPr>
        <w:t xml:space="preserve"> e</w:t>
      </w:r>
      <w:r w:rsidRPr="00DE6E4E">
        <w:rPr>
          <w:color w:val="auto"/>
        </w:rPr>
        <w:t xml:space="preserve">ur. </w:t>
      </w:r>
    </w:p>
    <w:tbl>
      <w:tblPr>
        <w:tblW w:w="8960" w:type="dxa"/>
        <w:tblCellMar>
          <w:left w:w="70" w:type="dxa"/>
          <w:right w:w="70" w:type="dxa"/>
        </w:tblCellMar>
        <w:tblLook w:val="04A0" w:firstRow="1" w:lastRow="0" w:firstColumn="1" w:lastColumn="0" w:noHBand="0" w:noVBand="1"/>
      </w:tblPr>
      <w:tblGrid>
        <w:gridCol w:w="3160"/>
        <w:gridCol w:w="1700"/>
        <w:gridCol w:w="1660"/>
        <w:gridCol w:w="1520"/>
        <w:gridCol w:w="920"/>
      </w:tblGrid>
      <w:tr w:rsidR="00B37674" w:rsidTr="00B37674">
        <w:trPr>
          <w:trHeight w:val="750"/>
        </w:trPr>
        <w:tc>
          <w:tcPr>
            <w:tcW w:w="3160" w:type="dxa"/>
            <w:tcBorders>
              <w:top w:val="double" w:sz="6" w:space="0" w:color="auto"/>
              <w:left w:val="double" w:sz="6" w:space="0" w:color="auto"/>
              <w:bottom w:val="double" w:sz="6" w:space="0" w:color="auto"/>
              <w:right w:val="single" w:sz="12" w:space="0" w:color="FFFFFF"/>
            </w:tcBorders>
            <w:shd w:val="clear" w:color="000000" w:fill="548DD4"/>
            <w:vAlign w:val="center"/>
            <w:hideMark/>
          </w:tcPr>
          <w:p w:rsidR="00B37674" w:rsidRDefault="00B37674">
            <w:pPr>
              <w:rPr>
                <w:b/>
                <w:bCs/>
                <w:color w:val="FFFFFF"/>
              </w:rPr>
            </w:pPr>
            <w:r>
              <w:rPr>
                <w:b/>
                <w:bCs/>
                <w:color w:val="FFFFFF"/>
              </w:rPr>
              <w:t xml:space="preserve">Kategória </w:t>
            </w:r>
          </w:p>
        </w:tc>
        <w:tc>
          <w:tcPr>
            <w:tcW w:w="1700" w:type="dxa"/>
            <w:tcBorders>
              <w:top w:val="double" w:sz="6" w:space="0" w:color="auto"/>
              <w:left w:val="nil"/>
              <w:bottom w:val="double" w:sz="6" w:space="0" w:color="auto"/>
              <w:right w:val="single" w:sz="12" w:space="0" w:color="FFFFFF"/>
            </w:tcBorders>
            <w:shd w:val="clear" w:color="000000" w:fill="548DD4"/>
            <w:vAlign w:val="center"/>
            <w:hideMark/>
          </w:tcPr>
          <w:p w:rsidR="00B37674" w:rsidRDefault="00B37674">
            <w:pPr>
              <w:jc w:val="center"/>
              <w:rPr>
                <w:b/>
                <w:bCs/>
                <w:color w:val="FFFFFF"/>
              </w:rPr>
            </w:pPr>
            <w:r>
              <w:rPr>
                <w:b/>
                <w:bCs/>
                <w:color w:val="FFFFFF"/>
              </w:rPr>
              <w:t>Čerpanie rozpočtu 2023</w:t>
            </w:r>
          </w:p>
        </w:tc>
        <w:tc>
          <w:tcPr>
            <w:tcW w:w="1660" w:type="dxa"/>
            <w:tcBorders>
              <w:top w:val="double" w:sz="6" w:space="0" w:color="auto"/>
              <w:left w:val="nil"/>
              <w:bottom w:val="double" w:sz="6" w:space="0" w:color="auto"/>
              <w:right w:val="single" w:sz="12" w:space="0" w:color="FFFFFF"/>
            </w:tcBorders>
            <w:shd w:val="clear" w:color="000000" w:fill="548DD4"/>
            <w:vAlign w:val="center"/>
            <w:hideMark/>
          </w:tcPr>
          <w:p w:rsidR="00B37674" w:rsidRDefault="00B37674">
            <w:pPr>
              <w:jc w:val="center"/>
              <w:rPr>
                <w:b/>
                <w:bCs/>
                <w:color w:val="FFFFFF"/>
              </w:rPr>
            </w:pPr>
            <w:r>
              <w:rPr>
                <w:b/>
                <w:bCs/>
                <w:color w:val="FFFFFF"/>
              </w:rPr>
              <w:t>Predpoklad 2024</w:t>
            </w:r>
          </w:p>
        </w:tc>
        <w:tc>
          <w:tcPr>
            <w:tcW w:w="1520" w:type="dxa"/>
            <w:tcBorders>
              <w:top w:val="double" w:sz="6" w:space="0" w:color="auto"/>
              <w:left w:val="nil"/>
              <w:bottom w:val="double" w:sz="6" w:space="0" w:color="auto"/>
              <w:right w:val="single" w:sz="12" w:space="0" w:color="FFFFFF"/>
            </w:tcBorders>
            <w:shd w:val="clear" w:color="000000" w:fill="548DD4"/>
            <w:vAlign w:val="center"/>
            <w:hideMark/>
          </w:tcPr>
          <w:p w:rsidR="00B37674" w:rsidRDefault="00B37674">
            <w:pPr>
              <w:jc w:val="center"/>
              <w:rPr>
                <w:b/>
                <w:bCs/>
                <w:color w:val="FFFFFF"/>
              </w:rPr>
            </w:pPr>
            <w:r>
              <w:rPr>
                <w:b/>
                <w:bCs/>
                <w:color w:val="FFFFFF"/>
              </w:rPr>
              <w:t>Návrh rozpočtu 2025</w:t>
            </w:r>
          </w:p>
        </w:tc>
        <w:tc>
          <w:tcPr>
            <w:tcW w:w="920" w:type="dxa"/>
            <w:tcBorders>
              <w:top w:val="double" w:sz="6" w:space="0" w:color="auto"/>
              <w:left w:val="nil"/>
              <w:bottom w:val="double" w:sz="6" w:space="0" w:color="auto"/>
              <w:right w:val="double" w:sz="6" w:space="0" w:color="auto"/>
            </w:tcBorders>
            <w:shd w:val="clear" w:color="000000" w:fill="548DD4"/>
            <w:vAlign w:val="center"/>
            <w:hideMark/>
          </w:tcPr>
          <w:p w:rsidR="00B37674" w:rsidRDefault="00B37674">
            <w:pPr>
              <w:jc w:val="center"/>
              <w:rPr>
                <w:b/>
                <w:bCs/>
                <w:color w:val="FFFFFF"/>
              </w:rPr>
            </w:pPr>
            <w:r>
              <w:rPr>
                <w:b/>
                <w:bCs/>
                <w:color w:val="FFFFFF"/>
              </w:rPr>
              <w:t>index rastu</w:t>
            </w:r>
          </w:p>
        </w:tc>
      </w:tr>
      <w:tr w:rsidR="00B37674" w:rsidTr="00B37674">
        <w:trPr>
          <w:trHeight w:val="300"/>
        </w:trPr>
        <w:tc>
          <w:tcPr>
            <w:tcW w:w="8960" w:type="dxa"/>
            <w:gridSpan w:val="5"/>
            <w:tcBorders>
              <w:top w:val="double" w:sz="6" w:space="0" w:color="auto"/>
              <w:left w:val="double" w:sz="6" w:space="0" w:color="auto"/>
              <w:bottom w:val="dotted" w:sz="4" w:space="0" w:color="auto"/>
              <w:right w:val="double" w:sz="6" w:space="0" w:color="000000"/>
            </w:tcBorders>
            <w:shd w:val="clear" w:color="auto" w:fill="auto"/>
            <w:vAlign w:val="center"/>
            <w:hideMark/>
          </w:tcPr>
          <w:p w:rsidR="00B37674" w:rsidRDefault="00B37674">
            <w:pPr>
              <w:jc w:val="both"/>
              <w:rPr>
                <w:b/>
                <w:bCs/>
              </w:rPr>
            </w:pPr>
            <w:r>
              <w:rPr>
                <w:b/>
                <w:bCs/>
              </w:rPr>
              <w:t>Bežný rozpočet (BR)</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Bežné príjmy (BP)</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17 534 991</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15 833 017</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15 576 334</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0,98</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Bežné výdavky (BV)</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17 087 778</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16 077 979</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15 153 961</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0,94</w:t>
            </w:r>
          </w:p>
        </w:tc>
      </w:tr>
      <w:tr w:rsidR="00B37674" w:rsidTr="00B37674">
        <w:trPr>
          <w:trHeight w:val="300"/>
        </w:trPr>
        <w:tc>
          <w:tcPr>
            <w:tcW w:w="3160" w:type="dxa"/>
            <w:tcBorders>
              <w:top w:val="nil"/>
              <w:left w:val="double" w:sz="6" w:space="0" w:color="auto"/>
              <w:bottom w:val="nil"/>
              <w:right w:val="single" w:sz="12" w:space="0" w:color="FFFFFF"/>
            </w:tcBorders>
            <w:shd w:val="clear" w:color="000000" w:fill="8DB3E2"/>
            <w:vAlign w:val="center"/>
            <w:hideMark/>
          </w:tcPr>
          <w:p w:rsidR="00B37674" w:rsidRDefault="00B37674">
            <w:r>
              <w:t>Bežný rozpočet (BP-BV)</w:t>
            </w:r>
          </w:p>
        </w:tc>
        <w:tc>
          <w:tcPr>
            <w:tcW w:w="170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447 213,13</w:t>
            </w:r>
          </w:p>
        </w:tc>
        <w:tc>
          <w:tcPr>
            <w:tcW w:w="166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-244 962</w:t>
            </w:r>
          </w:p>
        </w:tc>
        <w:tc>
          <w:tcPr>
            <w:tcW w:w="152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422 373</w:t>
            </w:r>
          </w:p>
        </w:tc>
        <w:tc>
          <w:tcPr>
            <w:tcW w:w="920" w:type="dxa"/>
            <w:vMerge w:val="restart"/>
            <w:tcBorders>
              <w:top w:val="nil"/>
              <w:left w:val="single" w:sz="12" w:space="0" w:color="FFFFFF"/>
              <w:bottom w:val="double" w:sz="6" w:space="0" w:color="000000"/>
              <w:right w:val="double" w:sz="6" w:space="0" w:color="auto"/>
            </w:tcBorders>
            <w:shd w:val="clear" w:color="000000" w:fill="8DB3E2"/>
            <w:vAlign w:val="center"/>
            <w:hideMark/>
          </w:tcPr>
          <w:p w:rsidR="00B37674" w:rsidRDefault="00B37674">
            <w:pPr>
              <w:rPr>
                <w:sz w:val="20"/>
                <w:szCs w:val="20"/>
              </w:rPr>
            </w:pPr>
            <w:r>
              <w:rPr>
                <w:sz w:val="20"/>
                <w:szCs w:val="20"/>
              </w:rPr>
              <w:t> </w:t>
            </w:r>
          </w:p>
        </w:tc>
      </w:tr>
      <w:tr w:rsidR="00B37674" w:rsidTr="00B37674">
        <w:trPr>
          <w:trHeight w:val="300"/>
        </w:trPr>
        <w:tc>
          <w:tcPr>
            <w:tcW w:w="3160" w:type="dxa"/>
            <w:tcBorders>
              <w:top w:val="nil"/>
              <w:left w:val="double" w:sz="6" w:space="0" w:color="auto"/>
              <w:bottom w:val="double" w:sz="6" w:space="0" w:color="auto"/>
              <w:right w:val="single" w:sz="12" w:space="0" w:color="FFFFFF"/>
            </w:tcBorders>
            <w:shd w:val="clear" w:color="000000" w:fill="8DB3E2"/>
            <w:vAlign w:val="center"/>
            <w:hideMark/>
          </w:tcPr>
          <w:p w:rsidR="00B37674" w:rsidRDefault="00B37674">
            <w:pPr>
              <w:jc w:val="both"/>
            </w:pPr>
            <w:r>
              <w:t>+ prebytok, - schodok</w:t>
            </w:r>
          </w:p>
        </w:tc>
        <w:tc>
          <w:tcPr>
            <w:tcW w:w="170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66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52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920" w:type="dxa"/>
            <w:vMerge/>
            <w:tcBorders>
              <w:top w:val="nil"/>
              <w:left w:val="single" w:sz="12" w:space="0" w:color="FFFFFF"/>
              <w:bottom w:val="double" w:sz="6" w:space="0" w:color="000000"/>
              <w:right w:val="double" w:sz="6" w:space="0" w:color="auto"/>
            </w:tcBorders>
            <w:vAlign w:val="center"/>
            <w:hideMark/>
          </w:tcPr>
          <w:p w:rsidR="00B37674" w:rsidRDefault="00B37674">
            <w:pPr>
              <w:rPr>
                <w:sz w:val="20"/>
                <w:szCs w:val="20"/>
              </w:rPr>
            </w:pPr>
          </w:p>
        </w:tc>
      </w:tr>
      <w:tr w:rsidR="00B37674" w:rsidTr="00B37674">
        <w:trPr>
          <w:trHeight w:val="300"/>
        </w:trPr>
        <w:tc>
          <w:tcPr>
            <w:tcW w:w="8960" w:type="dxa"/>
            <w:gridSpan w:val="5"/>
            <w:tcBorders>
              <w:top w:val="nil"/>
              <w:left w:val="double" w:sz="6" w:space="0" w:color="auto"/>
              <w:bottom w:val="dotted" w:sz="4" w:space="0" w:color="auto"/>
              <w:right w:val="double" w:sz="6" w:space="0" w:color="000000"/>
            </w:tcBorders>
            <w:shd w:val="clear" w:color="auto" w:fill="auto"/>
            <w:vAlign w:val="center"/>
            <w:hideMark/>
          </w:tcPr>
          <w:p w:rsidR="00B37674" w:rsidRDefault="00B37674">
            <w:pPr>
              <w:rPr>
                <w:b/>
                <w:bCs/>
              </w:rPr>
            </w:pPr>
            <w:r>
              <w:rPr>
                <w:b/>
                <w:bCs/>
              </w:rPr>
              <w:t>Kapitálový rozpočet (KR)</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Kapitálové príjmy (KP)</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967 514</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4 759 065</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6 290 427</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1,32</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Kapitálové výdavky (KV)</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3 231 553</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6 366 364</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12 142 760</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1,91</w:t>
            </w:r>
          </w:p>
        </w:tc>
      </w:tr>
      <w:tr w:rsidR="00B37674" w:rsidTr="00B37674">
        <w:trPr>
          <w:trHeight w:val="300"/>
        </w:trPr>
        <w:tc>
          <w:tcPr>
            <w:tcW w:w="3160" w:type="dxa"/>
            <w:tcBorders>
              <w:top w:val="nil"/>
              <w:left w:val="double" w:sz="6" w:space="0" w:color="auto"/>
              <w:bottom w:val="nil"/>
              <w:right w:val="single" w:sz="12" w:space="0" w:color="FFFFFF"/>
            </w:tcBorders>
            <w:shd w:val="clear" w:color="000000" w:fill="8DB3E2"/>
            <w:vAlign w:val="center"/>
            <w:hideMark/>
          </w:tcPr>
          <w:p w:rsidR="00B37674" w:rsidRDefault="00B37674">
            <w:r>
              <w:t>Kapitálový rozpočet (KP-KV)</w:t>
            </w:r>
          </w:p>
        </w:tc>
        <w:tc>
          <w:tcPr>
            <w:tcW w:w="170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-2 264 038,40</w:t>
            </w:r>
          </w:p>
        </w:tc>
        <w:tc>
          <w:tcPr>
            <w:tcW w:w="166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-1 607 299</w:t>
            </w:r>
          </w:p>
        </w:tc>
        <w:tc>
          <w:tcPr>
            <w:tcW w:w="152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-5 852 333</w:t>
            </w:r>
          </w:p>
        </w:tc>
        <w:tc>
          <w:tcPr>
            <w:tcW w:w="920" w:type="dxa"/>
            <w:vMerge w:val="restart"/>
            <w:tcBorders>
              <w:top w:val="nil"/>
              <w:left w:val="single" w:sz="12" w:space="0" w:color="FFFFFF"/>
              <w:bottom w:val="double" w:sz="6" w:space="0" w:color="000000"/>
              <w:right w:val="double" w:sz="6" w:space="0" w:color="auto"/>
            </w:tcBorders>
            <w:shd w:val="clear" w:color="000000" w:fill="8DB3E2"/>
            <w:vAlign w:val="center"/>
            <w:hideMark/>
          </w:tcPr>
          <w:p w:rsidR="00B37674" w:rsidRDefault="00B37674">
            <w:pPr>
              <w:rPr>
                <w:sz w:val="20"/>
                <w:szCs w:val="20"/>
              </w:rPr>
            </w:pPr>
            <w:r>
              <w:rPr>
                <w:sz w:val="20"/>
                <w:szCs w:val="20"/>
              </w:rPr>
              <w:t> </w:t>
            </w:r>
          </w:p>
        </w:tc>
      </w:tr>
      <w:tr w:rsidR="00B37674" w:rsidTr="00B37674">
        <w:trPr>
          <w:trHeight w:val="300"/>
        </w:trPr>
        <w:tc>
          <w:tcPr>
            <w:tcW w:w="3160" w:type="dxa"/>
            <w:tcBorders>
              <w:top w:val="nil"/>
              <w:left w:val="double" w:sz="6" w:space="0" w:color="auto"/>
              <w:bottom w:val="double" w:sz="6" w:space="0" w:color="auto"/>
              <w:right w:val="single" w:sz="12" w:space="0" w:color="FFFFFF"/>
            </w:tcBorders>
            <w:shd w:val="clear" w:color="000000" w:fill="8DB3E2"/>
            <w:vAlign w:val="center"/>
            <w:hideMark/>
          </w:tcPr>
          <w:p w:rsidR="00B37674" w:rsidRDefault="00B37674">
            <w:pPr>
              <w:jc w:val="both"/>
            </w:pPr>
            <w:r>
              <w:t>+prebytok, - schodok</w:t>
            </w:r>
          </w:p>
        </w:tc>
        <w:tc>
          <w:tcPr>
            <w:tcW w:w="170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66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52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920" w:type="dxa"/>
            <w:vMerge/>
            <w:tcBorders>
              <w:top w:val="nil"/>
              <w:left w:val="single" w:sz="12" w:space="0" w:color="FFFFFF"/>
              <w:bottom w:val="double" w:sz="6" w:space="0" w:color="000000"/>
              <w:right w:val="double" w:sz="6" w:space="0" w:color="auto"/>
            </w:tcBorders>
            <w:vAlign w:val="center"/>
            <w:hideMark/>
          </w:tcPr>
          <w:p w:rsidR="00B37674" w:rsidRDefault="00B37674">
            <w:pPr>
              <w:rPr>
                <w:sz w:val="20"/>
                <w:szCs w:val="20"/>
              </w:rPr>
            </w:pPr>
          </w:p>
        </w:tc>
      </w:tr>
      <w:tr w:rsidR="00B37674" w:rsidTr="00B37674">
        <w:trPr>
          <w:trHeight w:val="300"/>
        </w:trPr>
        <w:tc>
          <w:tcPr>
            <w:tcW w:w="8960" w:type="dxa"/>
            <w:gridSpan w:val="5"/>
            <w:tcBorders>
              <w:top w:val="nil"/>
              <w:left w:val="double" w:sz="6" w:space="0" w:color="auto"/>
              <w:bottom w:val="dotted" w:sz="4" w:space="0" w:color="auto"/>
              <w:right w:val="double" w:sz="6" w:space="0" w:color="000000"/>
            </w:tcBorders>
            <w:shd w:val="clear" w:color="auto" w:fill="auto"/>
            <w:vAlign w:val="center"/>
            <w:hideMark/>
          </w:tcPr>
          <w:p w:rsidR="00B37674" w:rsidRDefault="00B37674">
            <w:pPr>
              <w:rPr>
                <w:b/>
                <w:bCs/>
              </w:rPr>
            </w:pPr>
            <w:r>
              <w:rPr>
                <w:b/>
                <w:bCs/>
              </w:rPr>
              <w:t>Rozpočet spolu</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Príjem (BP+KP)</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18 502 505,06</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20 592 082,00</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21 866 761</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1,06</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Výdavky (BV+KV)</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20 319 330,33</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22 444 343,00</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27 296 721</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1,22</w:t>
            </w:r>
          </w:p>
        </w:tc>
      </w:tr>
      <w:tr w:rsidR="00B37674" w:rsidTr="00B37674">
        <w:trPr>
          <w:trHeight w:val="300"/>
        </w:trPr>
        <w:tc>
          <w:tcPr>
            <w:tcW w:w="3160" w:type="dxa"/>
            <w:tcBorders>
              <w:top w:val="nil"/>
              <w:left w:val="double" w:sz="6" w:space="0" w:color="auto"/>
              <w:bottom w:val="nil"/>
              <w:right w:val="single" w:sz="12" w:space="0" w:color="FFFFFF"/>
            </w:tcBorders>
            <w:shd w:val="clear" w:color="000000" w:fill="8DB3E2"/>
            <w:vAlign w:val="center"/>
            <w:hideMark/>
          </w:tcPr>
          <w:p w:rsidR="00B37674" w:rsidRDefault="00B37674">
            <w:pPr>
              <w:jc w:val="both"/>
            </w:pPr>
            <w:r>
              <w:t>Rozdiel</w:t>
            </w:r>
          </w:p>
        </w:tc>
        <w:tc>
          <w:tcPr>
            <w:tcW w:w="170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-1 816 825,27</w:t>
            </w:r>
          </w:p>
        </w:tc>
        <w:tc>
          <w:tcPr>
            <w:tcW w:w="166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-1 852 261</w:t>
            </w:r>
          </w:p>
        </w:tc>
        <w:tc>
          <w:tcPr>
            <w:tcW w:w="1520" w:type="dxa"/>
            <w:vMerge w:val="restart"/>
            <w:tcBorders>
              <w:top w:val="nil"/>
              <w:left w:val="single" w:sz="12" w:space="0" w:color="FFFFFF"/>
              <w:bottom w:val="double" w:sz="6" w:space="0" w:color="000000"/>
              <w:right w:val="single" w:sz="12" w:space="0" w:color="FFFFFF"/>
            </w:tcBorders>
            <w:shd w:val="clear" w:color="000000" w:fill="8DB3E2"/>
            <w:vAlign w:val="center"/>
            <w:hideMark/>
          </w:tcPr>
          <w:p w:rsidR="00B37674" w:rsidRDefault="00B37674">
            <w:pPr>
              <w:jc w:val="right"/>
              <w:rPr>
                <w:b/>
                <w:bCs/>
              </w:rPr>
            </w:pPr>
            <w:r>
              <w:rPr>
                <w:b/>
                <w:bCs/>
              </w:rPr>
              <w:t>-5 429 960</w:t>
            </w:r>
          </w:p>
        </w:tc>
        <w:tc>
          <w:tcPr>
            <w:tcW w:w="920" w:type="dxa"/>
            <w:vMerge w:val="restart"/>
            <w:tcBorders>
              <w:top w:val="nil"/>
              <w:left w:val="single" w:sz="12" w:space="0" w:color="FFFFFF"/>
              <w:bottom w:val="double" w:sz="6" w:space="0" w:color="000000"/>
              <w:right w:val="double" w:sz="6" w:space="0" w:color="auto"/>
            </w:tcBorders>
            <w:shd w:val="clear" w:color="000000" w:fill="8DB3E2"/>
            <w:vAlign w:val="center"/>
            <w:hideMark/>
          </w:tcPr>
          <w:p w:rsidR="00B37674" w:rsidRDefault="00B37674">
            <w:pPr>
              <w:rPr>
                <w:sz w:val="20"/>
                <w:szCs w:val="20"/>
              </w:rPr>
            </w:pPr>
            <w:r>
              <w:rPr>
                <w:sz w:val="20"/>
                <w:szCs w:val="20"/>
              </w:rPr>
              <w:t> </w:t>
            </w:r>
          </w:p>
        </w:tc>
      </w:tr>
      <w:tr w:rsidR="00B37674" w:rsidTr="00B37674">
        <w:trPr>
          <w:trHeight w:val="300"/>
        </w:trPr>
        <w:tc>
          <w:tcPr>
            <w:tcW w:w="3160" w:type="dxa"/>
            <w:tcBorders>
              <w:top w:val="nil"/>
              <w:left w:val="double" w:sz="6" w:space="0" w:color="auto"/>
              <w:bottom w:val="double" w:sz="6" w:space="0" w:color="auto"/>
              <w:right w:val="single" w:sz="12" w:space="0" w:color="FFFFFF"/>
            </w:tcBorders>
            <w:shd w:val="clear" w:color="000000" w:fill="8DB3E2"/>
            <w:vAlign w:val="center"/>
            <w:hideMark/>
          </w:tcPr>
          <w:p w:rsidR="00B37674" w:rsidRDefault="00B37674">
            <w:pPr>
              <w:jc w:val="both"/>
            </w:pPr>
            <w:r>
              <w:t>+ prebytok, -  schodok</w:t>
            </w:r>
          </w:p>
        </w:tc>
        <w:tc>
          <w:tcPr>
            <w:tcW w:w="170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66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152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rPr>
            </w:pPr>
          </w:p>
        </w:tc>
        <w:tc>
          <w:tcPr>
            <w:tcW w:w="920" w:type="dxa"/>
            <w:vMerge/>
            <w:tcBorders>
              <w:top w:val="nil"/>
              <w:left w:val="single" w:sz="12" w:space="0" w:color="FFFFFF"/>
              <w:bottom w:val="double" w:sz="6" w:space="0" w:color="000000"/>
              <w:right w:val="double" w:sz="6" w:space="0" w:color="auto"/>
            </w:tcBorders>
            <w:vAlign w:val="center"/>
            <w:hideMark/>
          </w:tcPr>
          <w:p w:rsidR="00B37674" w:rsidRDefault="00B37674">
            <w:pPr>
              <w:rPr>
                <w:sz w:val="20"/>
                <w:szCs w:val="20"/>
              </w:rPr>
            </w:pPr>
          </w:p>
        </w:tc>
      </w:tr>
      <w:tr w:rsidR="00B37674" w:rsidTr="00B37674">
        <w:trPr>
          <w:trHeight w:val="300"/>
        </w:trPr>
        <w:tc>
          <w:tcPr>
            <w:tcW w:w="8960" w:type="dxa"/>
            <w:gridSpan w:val="5"/>
            <w:tcBorders>
              <w:top w:val="nil"/>
              <w:left w:val="double" w:sz="6" w:space="0" w:color="auto"/>
              <w:bottom w:val="dotted" w:sz="4" w:space="0" w:color="auto"/>
              <w:right w:val="double" w:sz="6" w:space="0" w:color="000000"/>
            </w:tcBorders>
            <w:shd w:val="clear" w:color="auto" w:fill="auto"/>
            <w:vAlign w:val="center"/>
            <w:hideMark/>
          </w:tcPr>
          <w:p w:rsidR="00B37674" w:rsidRDefault="00B37674">
            <w:pPr>
              <w:rPr>
                <w:b/>
                <w:bCs/>
              </w:rPr>
            </w:pPr>
            <w:r>
              <w:rPr>
                <w:b/>
                <w:bCs/>
              </w:rPr>
              <w:t>Finančné operácie</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Príjmy celkom</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3 362 550</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3 534 065</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5 970 774</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1,69</w:t>
            </w:r>
          </w:p>
        </w:tc>
      </w:tr>
      <w:tr w:rsidR="00B37674" w:rsidTr="00B37674">
        <w:trPr>
          <w:trHeight w:val="300"/>
        </w:trPr>
        <w:tc>
          <w:tcPr>
            <w:tcW w:w="31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jc w:val="both"/>
            </w:pPr>
            <w:r>
              <w:t>Výdavky celkom</w:t>
            </w:r>
          </w:p>
        </w:tc>
        <w:tc>
          <w:tcPr>
            <w:tcW w:w="170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974 810</w:t>
            </w:r>
          </w:p>
        </w:tc>
        <w:tc>
          <w:tcPr>
            <w:tcW w:w="166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1 681 804</w:t>
            </w:r>
          </w:p>
        </w:tc>
        <w:tc>
          <w:tcPr>
            <w:tcW w:w="1520" w:type="dxa"/>
            <w:tcBorders>
              <w:top w:val="nil"/>
              <w:left w:val="nil"/>
              <w:bottom w:val="dotted" w:sz="4" w:space="0" w:color="auto"/>
              <w:right w:val="single" w:sz="12" w:space="0" w:color="auto"/>
            </w:tcBorders>
            <w:shd w:val="clear" w:color="auto" w:fill="auto"/>
            <w:vAlign w:val="center"/>
            <w:hideMark/>
          </w:tcPr>
          <w:p w:rsidR="00B37674" w:rsidRDefault="00B37674">
            <w:pPr>
              <w:jc w:val="right"/>
              <w:rPr>
                <w:sz w:val="20"/>
                <w:szCs w:val="20"/>
              </w:rPr>
            </w:pPr>
            <w:r>
              <w:rPr>
                <w:sz w:val="20"/>
                <w:szCs w:val="20"/>
              </w:rPr>
              <w:t>540 814</w:t>
            </w:r>
          </w:p>
        </w:tc>
        <w:tc>
          <w:tcPr>
            <w:tcW w:w="920" w:type="dxa"/>
            <w:tcBorders>
              <w:top w:val="nil"/>
              <w:left w:val="nil"/>
              <w:bottom w:val="dotted" w:sz="4" w:space="0" w:color="auto"/>
              <w:right w:val="double" w:sz="6" w:space="0" w:color="auto"/>
            </w:tcBorders>
            <w:shd w:val="clear" w:color="auto" w:fill="auto"/>
            <w:vAlign w:val="center"/>
            <w:hideMark/>
          </w:tcPr>
          <w:p w:rsidR="00B37674" w:rsidRDefault="00B37674">
            <w:pPr>
              <w:jc w:val="right"/>
              <w:rPr>
                <w:sz w:val="20"/>
                <w:szCs w:val="20"/>
              </w:rPr>
            </w:pPr>
            <w:r>
              <w:rPr>
                <w:sz w:val="20"/>
                <w:szCs w:val="20"/>
              </w:rPr>
              <w:t>0,32</w:t>
            </w:r>
          </w:p>
        </w:tc>
      </w:tr>
      <w:tr w:rsidR="00B37674" w:rsidTr="00B37674">
        <w:trPr>
          <w:trHeight w:val="300"/>
        </w:trPr>
        <w:tc>
          <w:tcPr>
            <w:tcW w:w="3160" w:type="dxa"/>
            <w:tcBorders>
              <w:top w:val="nil"/>
              <w:left w:val="double" w:sz="6" w:space="0" w:color="auto"/>
              <w:bottom w:val="double" w:sz="6" w:space="0" w:color="auto"/>
              <w:right w:val="single" w:sz="12" w:space="0" w:color="FFFFFF"/>
            </w:tcBorders>
            <w:shd w:val="clear" w:color="000000" w:fill="8DB3E2"/>
            <w:vAlign w:val="center"/>
            <w:hideMark/>
          </w:tcPr>
          <w:p w:rsidR="00B37674" w:rsidRDefault="00B37674">
            <w:pPr>
              <w:jc w:val="both"/>
            </w:pPr>
            <w:r>
              <w:t>Rozdiel  +, -</w:t>
            </w:r>
          </w:p>
        </w:tc>
        <w:tc>
          <w:tcPr>
            <w:tcW w:w="1700" w:type="dxa"/>
            <w:tcBorders>
              <w:top w:val="nil"/>
              <w:left w:val="nil"/>
              <w:bottom w:val="double" w:sz="6" w:space="0" w:color="auto"/>
              <w:right w:val="single" w:sz="12" w:space="0" w:color="FFFFFF"/>
            </w:tcBorders>
            <w:shd w:val="clear" w:color="000000" w:fill="8DB3E2"/>
            <w:vAlign w:val="center"/>
            <w:hideMark/>
          </w:tcPr>
          <w:p w:rsidR="00B37674" w:rsidRDefault="00B37674">
            <w:pPr>
              <w:jc w:val="right"/>
              <w:rPr>
                <w:b/>
                <w:bCs/>
              </w:rPr>
            </w:pPr>
            <w:r>
              <w:rPr>
                <w:b/>
                <w:bCs/>
              </w:rPr>
              <w:t>2 387 739,52</w:t>
            </w:r>
          </w:p>
        </w:tc>
        <w:tc>
          <w:tcPr>
            <w:tcW w:w="1660" w:type="dxa"/>
            <w:tcBorders>
              <w:top w:val="nil"/>
              <w:left w:val="nil"/>
              <w:bottom w:val="double" w:sz="6" w:space="0" w:color="auto"/>
              <w:right w:val="single" w:sz="12" w:space="0" w:color="FFFFFF"/>
            </w:tcBorders>
            <w:shd w:val="clear" w:color="000000" w:fill="8DB3E2"/>
            <w:vAlign w:val="center"/>
            <w:hideMark/>
          </w:tcPr>
          <w:p w:rsidR="00B37674" w:rsidRDefault="00B37674">
            <w:pPr>
              <w:jc w:val="right"/>
              <w:rPr>
                <w:b/>
                <w:bCs/>
              </w:rPr>
            </w:pPr>
            <w:r>
              <w:rPr>
                <w:b/>
                <w:bCs/>
              </w:rPr>
              <w:t>1 852 261</w:t>
            </w:r>
          </w:p>
        </w:tc>
        <w:tc>
          <w:tcPr>
            <w:tcW w:w="1520" w:type="dxa"/>
            <w:tcBorders>
              <w:top w:val="nil"/>
              <w:left w:val="nil"/>
              <w:bottom w:val="double" w:sz="6" w:space="0" w:color="auto"/>
              <w:right w:val="single" w:sz="12" w:space="0" w:color="FFFFFF"/>
            </w:tcBorders>
            <w:shd w:val="clear" w:color="000000" w:fill="8DB3E2"/>
            <w:vAlign w:val="center"/>
            <w:hideMark/>
          </w:tcPr>
          <w:p w:rsidR="00B37674" w:rsidRDefault="00B37674">
            <w:pPr>
              <w:jc w:val="right"/>
              <w:rPr>
                <w:b/>
                <w:bCs/>
              </w:rPr>
            </w:pPr>
            <w:r>
              <w:rPr>
                <w:b/>
                <w:bCs/>
              </w:rPr>
              <w:t>5 429 960</w:t>
            </w:r>
          </w:p>
        </w:tc>
        <w:tc>
          <w:tcPr>
            <w:tcW w:w="920" w:type="dxa"/>
            <w:tcBorders>
              <w:top w:val="nil"/>
              <w:left w:val="nil"/>
              <w:bottom w:val="double" w:sz="6" w:space="0" w:color="auto"/>
              <w:right w:val="double" w:sz="6" w:space="0" w:color="auto"/>
            </w:tcBorders>
            <w:shd w:val="clear" w:color="000000" w:fill="8DB3E2"/>
            <w:vAlign w:val="center"/>
            <w:hideMark/>
          </w:tcPr>
          <w:p w:rsidR="00B37674" w:rsidRDefault="00B37674">
            <w:pPr>
              <w:rPr>
                <w:sz w:val="20"/>
                <w:szCs w:val="20"/>
              </w:rPr>
            </w:pPr>
            <w:r>
              <w:rPr>
                <w:sz w:val="20"/>
                <w:szCs w:val="20"/>
              </w:rPr>
              <w:t> </w:t>
            </w:r>
          </w:p>
        </w:tc>
      </w:tr>
      <w:tr w:rsidR="00B37674" w:rsidTr="00B37674">
        <w:trPr>
          <w:trHeight w:val="300"/>
        </w:trPr>
        <w:tc>
          <w:tcPr>
            <w:tcW w:w="3160" w:type="dxa"/>
            <w:tcBorders>
              <w:top w:val="nil"/>
              <w:left w:val="double" w:sz="6" w:space="0" w:color="auto"/>
              <w:bottom w:val="nil"/>
              <w:right w:val="single" w:sz="12" w:space="0" w:color="FFFFFF"/>
            </w:tcBorders>
            <w:shd w:val="clear" w:color="000000" w:fill="548DD4"/>
            <w:vAlign w:val="center"/>
            <w:hideMark/>
          </w:tcPr>
          <w:p w:rsidR="00B37674" w:rsidRDefault="00B37674">
            <w:pPr>
              <w:jc w:val="both"/>
              <w:rPr>
                <w:b/>
                <w:bCs/>
                <w:color w:val="FFFFFF"/>
              </w:rPr>
            </w:pPr>
            <w:r>
              <w:rPr>
                <w:b/>
                <w:bCs/>
                <w:color w:val="FFFFFF"/>
              </w:rPr>
              <w:t xml:space="preserve">Celkový prebytok </w:t>
            </w:r>
          </w:p>
        </w:tc>
        <w:tc>
          <w:tcPr>
            <w:tcW w:w="1700"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B37674" w:rsidRDefault="00B37674">
            <w:pPr>
              <w:jc w:val="right"/>
              <w:rPr>
                <w:b/>
                <w:bCs/>
                <w:color w:val="FFFFFF"/>
              </w:rPr>
            </w:pPr>
            <w:r>
              <w:rPr>
                <w:b/>
                <w:bCs/>
                <w:color w:val="FFFFFF"/>
              </w:rPr>
              <w:t>570 914,25</w:t>
            </w:r>
          </w:p>
        </w:tc>
        <w:tc>
          <w:tcPr>
            <w:tcW w:w="1660"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B37674" w:rsidRDefault="00B37674">
            <w:pPr>
              <w:jc w:val="right"/>
              <w:rPr>
                <w:b/>
                <w:bCs/>
                <w:color w:val="FFFFFF"/>
              </w:rPr>
            </w:pPr>
            <w:r>
              <w:rPr>
                <w:b/>
                <w:bCs/>
                <w:color w:val="FFFFFF"/>
              </w:rPr>
              <w:t>0</w:t>
            </w:r>
          </w:p>
        </w:tc>
        <w:tc>
          <w:tcPr>
            <w:tcW w:w="1520" w:type="dxa"/>
            <w:vMerge w:val="restart"/>
            <w:tcBorders>
              <w:top w:val="nil"/>
              <w:left w:val="single" w:sz="12" w:space="0" w:color="FFFFFF"/>
              <w:bottom w:val="double" w:sz="6" w:space="0" w:color="000000"/>
              <w:right w:val="single" w:sz="12" w:space="0" w:color="FFFFFF"/>
            </w:tcBorders>
            <w:shd w:val="clear" w:color="000000" w:fill="548DD4"/>
            <w:vAlign w:val="center"/>
            <w:hideMark/>
          </w:tcPr>
          <w:p w:rsidR="00B37674" w:rsidRDefault="00B37674">
            <w:pPr>
              <w:jc w:val="right"/>
              <w:rPr>
                <w:b/>
                <w:bCs/>
                <w:color w:val="FFFFFF"/>
              </w:rPr>
            </w:pPr>
            <w:r>
              <w:rPr>
                <w:b/>
                <w:bCs/>
                <w:color w:val="FFFFFF"/>
              </w:rPr>
              <w:t>0</w:t>
            </w:r>
          </w:p>
        </w:tc>
        <w:tc>
          <w:tcPr>
            <w:tcW w:w="920" w:type="dxa"/>
            <w:vMerge w:val="restart"/>
            <w:tcBorders>
              <w:top w:val="nil"/>
              <w:left w:val="single" w:sz="12" w:space="0" w:color="FFFFFF"/>
              <w:bottom w:val="double" w:sz="6" w:space="0" w:color="000000"/>
              <w:right w:val="double" w:sz="6" w:space="0" w:color="auto"/>
            </w:tcBorders>
            <w:shd w:val="clear" w:color="000000" w:fill="548DD4"/>
            <w:hideMark/>
          </w:tcPr>
          <w:p w:rsidR="00B37674" w:rsidRDefault="00B37674">
            <w:pPr>
              <w:rPr>
                <w:sz w:val="20"/>
                <w:szCs w:val="20"/>
              </w:rPr>
            </w:pPr>
            <w:r>
              <w:rPr>
                <w:sz w:val="20"/>
                <w:szCs w:val="20"/>
              </w:rPr>
              <w:t> </w:t>
            </w:r>
          </w:p>
        </w:tc>
      </w:tr>
      <w:tr w:rsidR="00B37674" w:rsidTr="00B37674">
        <w:trPr>
          <w:trHeight w:val="300"/>
        </w:trPr>
        <w:tc>
          <w:tcPr>
            <w:tcW w:w="3160" w:type="dxa"/>
            <w:tcBorders>
              <w:top w:val="nil"/>
              <w:left w:val="double" w:sz="6" w:space="0" w:color="auto"/>
              <w:bottom w:val="double" w:sz="6" w:space="0" w:color="auto"/>
              <w:right w:val="single" w:sz="12" w:space="0" w:color="FFFFFF"/>
            </w:tcBorders>
            <w:shd w:val="clear" w:color="000000" w:fill="548DD4"/>
            <w:vAlign w:val="center"/>
            <w:hideMark/>
          </w:tcPr>
          <w:p w:rsidR="00B37674" w:rsidRDefault="00B37674">
            <w:pPr>
              <w:jc w:val="both"/>
              <w:rPr>
                <w:b/>
                <w:bCs/>
                <w:color w:val="FFFFFF"/>
              </w:rPr>
            </w:pPr>
            <w:r>
              <w:rPr>
                <w:b/>
                <w:bCs/>
                <w:color w:val="FFFFFF"/>
              </w:rPr>
              <w:t>(po započítaní FO)</w:t>
            </w:r>
          </w:p>
        </w:tc>
        <w:tc>
          <w:tcPr>
            <w:tcW w:w="170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color w:val="FFFFFF"/>
              </w:rPr>
            </w:pPr>
          </w:p>
        </w:tc>
        <w:tc>
          <w:tcPr>
            <w:tcW w:w="166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color w:val="FFFFFF"/>
              </w:rPr>
            </w:pPr>
          </w:p>
        </w:tc>
        <w:tc>
          <w:tcPr>
            <w:tcW w:w="1520" w:type="dxa"/>
            <w:vMerge/>
            <w:tcBorders>
              <w:top w:val="nil"/>
              <w:left w:val="single" w:sz="12" w:space="0" w:color="FFFFFF"/>
              <w:bottom w:val="double" w:sz="6" w:space="0" w:color="000000"/>
              <w:right w:val="single" w:sz="12" w:space="0" w:color="FFFFFF"/>
            </w:tcBorders>
            <w:vAlign w:val="center"/>
            <w:hideMark/>
          </w:tcPr>
          <w:p w:rsidR="00B37674" w:rsidRDefault="00B37674">
            <w:pPr>
              <w:rPr>
                <w:b/>
                <w:bCs/>
                <w:color w:val="FFFFFF"/>
              </w:rPr>
            </w:pPr>
          </w:p>
        </w:tc>
        <w:tc>
          <w:tcPr>
            <w:tcW w:w="920" w:type="dxa"/>
            <w:vMerge/>
            <w:tcBorders>
              <w:top w:val="nil"/>
              <w:left w:val="single" w:sz="12" w:space="0" w:color="FFFFFF"/>
              <w:bottom w:val="double" w:sz="6" w:space="0" w:color="000000"/>
              <w:right w:val="double" w:sz="6" w:space="0" w:color="auto"/>
            </w:tcBorders>
            <w:vAlign w:val="center"/>
            <w:hideMark/>
          </w:tcPr>
          <w:p w:rsidR="00B37674" w:rsidRDefault="00B37674">
            <w:pPr>
              <w:rPr>
                <w:sz w:val="20"/>
                <w:szCs w:val="20"/>
              </w:rPr>
            </w:pPr>
          </w:p>
        </w:tc>
      </w:tr>
    </w:tbl>
    <w:p w:rsidR="00B37674" w:rsidRPr="00DE6E4E" w:rsidRDefault="00B37674" w:rsidP="001529B9">
      <w:pPr>
        <w:pStyle w:val="Default"/>
        <w:spacing w:before="240" w:line="360" w:lineRule="auto"/>
        <w:ind w:firstLine="709"/>
        <w:jc w:val="both"/>
        <w:rPr>
          <w:color w:val="auto"/>
        </w:rPr>
      </w:pPr>
    </w:p>
    <w:p w:rsidR="000E1D63" w:rsidRDefault="000E1D63" w:rsidP="001529B9">
      <w:pPr>
        <w:pStyle w:val="Default"/>
        <w:spacing w:before="240" w:line="360" w:lineRule="auto"/>
        <w:ind w:firstLine="709"/>
        <w:jc w:val="both"/>
      </w:pPr>
    </w:p>
    <w:p w:rsidR="009A04CC" w:rsidRDefault="009A04CC" w:rsidP="001529B9">
      <w:pPr>
        <w:pStyle w:val="Default"/>
        <w:spacing w:before="240" w:line="360" w:lineRule="auto"/>
        <w:ind w:firstLine="709"/>
        <w:jc w:val="both"/>
      </w:pPr>
    </w:p>
    <w:p w:rsidR="009A04CC" w:rsidRDefault="009A04CC" w:rsidP="001529B9">
      <w:pPr>
        <w:pStyle w:val="Default"/>
        <w:spacing w:before="240" w:line="360" w:lineRule="auto"/>
        <w:ind w:firstLine="709"/>
        <w:jc w:val="both"/>
      </w:pPr>
    </w:p>
    <w:p w:rsidR="00971378" w:rsidRDefault="00971378" w:rsidP="001529B9">
      <w:pPr>
        <w:pStyle w:val="Default"/>
        <w:spacing w:before="240" w:line="360" w:lineRule="auto"/>
        <w:ind w:firstLine="709"/>
        <w:jc w:val="both"/>
      </w:pPr>
    </w:p>
    <w:p w:rsidR="000E1D63" w:rsidRPr="008D6D1D" w:rsidRDefault="000E1D63" w:rsidP="000E1D63">
      <w:pPr>
        <w:pStyle w:val="Odsekzoznamu"/>
        <w:numPr>
          <w:ilvl w:val="1"/>
          <w:numId w:val="1"/>
        </w:numPr>
        <w:rPr>
          <w:b/>
          <w:sz w:val="28"/>
          <w:szCs w:val="28"/>
        </w:rPr>
      </w:pPr>
      <w:r w:rsidRPr="008D6D1D">
        <w:rPr>
          <w:b/>
          <w:sz w:val="28"/>
          <w:szCs w:val="28"/>
        </w:rPr>
        <w:lastRenderedPageBreak/>
        <w:t>Krytie kapitálových výdavkov</w:t>
      </w:r>
    </w:p>
    <w:p w:rsidR="001345DF" w:rsidRPr="008D6D1D" w:rsidRDefault="00711950" w:rsidP="00131D1E">
      <w:pPr>
        <w:pStyle w:val="Default"/>
        <w:tabs>
          <w:tab w:val="left" w:pos="7513"/>
        </w:tabs>
        <w:spacing w:line="360" w:lineRule="auto"/>
        <w:ind w:left="780"/>
        <w:rPr>
          <w:color w:val="auto"/>
        </w:rPr>
      </w:pPr>
      <w:r w:rsidRPr="008D6D1D">
        <w:rPr>
          <w:color w:val="auto"/>
        </w:rPr>
        <w:t xml:space="preserve">Schodok kapitálového rozpočtu vo výške </w:t>
      </w:r>
      <w:r w:rsidR="008D6D1D" w:rsidRPr="008D6D1D">
        <w:rPr>
          <w:b/>
          <w:color w:val="auto"/>
        </w:rPr>
        <w:t>5 849 334</w:t>
      </w:r>
      <w:r w:rsidR="00971378" w:rsidRPr="008D6D1D">
        <w:rPr>
          <w:b/>
          <w:color w:val="auto"/>
        </w:rPr>
        <w:t xml:space="preserve"> </w:t>
      </w:r>
      <w:r w:rsidR="00D516F4" w:rsidRPr="008D6D1D">
        <w:rPr>
          <w:b/>
          <w:color w:val="auto"/>
        </w:rPr>
        <w:t xml:space="preserve"> </w:t>
      </w:r>
      <w:r w:rsidRPr="008D6D1D">
        <w:rPr>
          <w:color w:val="auto"/>
        </w:rPr>
        <w:t>eur je krytý:</w:t>
      </w:r>
    </w:p>
    <w:p w:rsidR="00711950" w:rsidRPr="008D6D1D" w:rsidRDefault="002F4766" w:rsidP="000E3BFB">
      <w:pPr>
        <w:numPr>
          <w:ilvl w:val="0"/>
          <w:numId w:val="18"/>
        </w:numPr>
        <w:tabs>
          <w:tab w:val="right" w:pos="7513"/>
        </w:tabs>
        <w:spacing w:line="360" w:lineRule="auto"/>
      </w:pPr>
      <w:r w:rsidRPr="008D6D1D">
        <w:t>P</w:t>
      </w:r>
      <w:r w:rsidR="00711950" w:rsidRPr="008D6D1D">
        <w:t>rebytkom</w:t>
      </w:r>
      <w:r w:rsidR="005C6ABA" w:rsidRPr="008D6D1D">
        <w:t xml:space="preserve"> </w:t>
      </w:r>
      <w:r w:rsidR="00711950" w:rsidRPr="008D6D1D">
        <w:t xml:space="preserve">bežného rozpočtu </w:t>
      </w:r>
      <w:r w:rsidR="00A33404" w:rsidRPr="008D6D1D">
        <w:tab/>
      </w:r>
      <w:r w:rsidR="00656BC0" w:rsidRPr="008D6D1D">
        <w:t>0</w:t>
      </w:r>
      <w:r w:rsidR="00711950" w:rsidRPr="008D6D1D">
        <w:t xml:space="preserve"> eur</w:t>
      </w:r>
    </w:p>
    <w:p w:rsidR="00711950" w:rsidRPr="008D6D1D" w:rsidRDefault="008934C2" w:rsidP="00131D1E">
      <w:pPr>
        <w:numPr>
          <w:ilvl w:val="0"/>
          <w:numId w:val="18"/>
        </w:numPr>
        <w:tabs>
          <w:tab w:val="right" w:pos="7513"/>
        </w:tabs>
        <w:spacing w:line="360" w:lineRule="auto"/>
      </w:pPr>
      <w:r w:rsidRPr="008D6D1D">
        <w:t>Investičným</w:t>
      </w:r>
      <w:r w:rsidR="008D06AF" w:rsidRPr="008D6D1D">
        <w:t xml:space="preserve"> </w:t>
      </w:r>
      <w:r w:rsidRPr="008D6D1D">
        <w:t>fondom</w:t>
      </w:r>
      <w:r w:rsidR="00711950" w:rsidRPr="008D6D1D">
        <w:t xml:space="preserve"> </w:t>
      </w:r>
      <w:r w:rsidR="00A33404" w:rsidRPr="008D6D1D">
        <w:tab/>
      </w:r>
      <w:r w:rsidR="00B5399B" w:rsidRPr="008D6D1D">
        <w:t xml:space="preserve"> </w:t>
      </w:r>
      <w:r w:rsidR="008D6D1D" w:rsidRPr="008D6D1D">
        <w:t>69 217</w:t>
      </w:r>
      <w:r w:rsidR="00656BC0" w:rsidRPr="008D6D1D">
        <w:t xml:space="preserve"> </w:t>
      </w:r>
      <w:r w:rsidR="00711950" w:rsidRPr="008D6D1D">
        <w:t>eur</w:t>
      </w:r>
    </w:p>
    <w:p w:rsidR="00A33404" w:rsidRPr="008D6D1D" w:rsidRDefault="00A33404" w:rsidP="00131D1E">
      <w:pPr>
        <w:numPr>
          <w:ilvl w:val="0"/>
          <w:numId w:val="18"/>
        </w:numPr>
        <w:tabs>
          <w:tab w:val="right" w:pos="7513"/>
        </w:tabs>
        <w:spacing w:line="360" w:lineRule="auto"/>
      </w:pPr>
      <w:r w:rsidRPr="008D6D1D">
        <w:t xml:space="preserve">fondom nevyčerpaných dotácií </w:t>
      </w:r>
      <w:r w:rsidRPr="008D6D1D">
        <w:tab/>
      </w:r>
      <w:r w:rsidR="008D6D1D" w:rsidRPr="008D6D1D">
        <w:t>325 000</w:t>
      </w:r>
      <w:r w:rsidR="00656BC0" w:rsidRPr="008D6D1D">
        <w:t xml:space="preserve"> </w:t>
      </w:r>
      <w:r w:rsidRPr="008D6D1D">
        <w:t>eur</w:t>
      </w:r>
    </w:p>
    <w:p w:rsidR="0081256E" w:rsidRPr="008D6D1D" w:rsidRDefault="00C51E06" w:rsidP="00131D1E">
      <w:pPr>
        <w:numPr>
          <w:ilvl w:val="0"/>
          <w:numId w:val="18"/>
        </w:numPr>
        <w:tabs>
          <w:tab w:val="right" w:pos="7513"/>
        </w:tabs>
        <w:spacing w:line="360" w:lineRule="auto"/>
      </w:pPr>
      <w:r w:rsidRPr="008D6D1D">
        <w:t>dlhodobý</w:t>
      </w:r>
      <w:r w:rsidR="008D06AF" w:rsidRPr="008D6D1D">
        <w:t>m</w:t>
      </w:r>
      <w:r w:rsidRPr="008D6D1D">
        <w:t xml:space="preserve"> </w:t>
      </w:r>
      <w:r w:rsidR="0081256E" w:rsidRPr="008D6D1D">
        <w:t>úver</w:t>
      </w:r>
      <w:r w:rsidR="008D06AF" w:rsidRPr="008D6D1D">
        <w:t>om z roku 2022</w:t>
      </w:r>
      <w:r w:rsidR="0081256E" w:rsidRPr="008D6D1D">
        <w:tab/>
      </w:r>
      <w:r w:rsidR="008D6D1D" w:rsidRPr="008D6D1D">
        <w:t>8 379</w:t>
      </w:r>
      <w:r w:rsidR="00656BC0" w:rsidRPr="008D6D1D">
        <w:t xml:space="preserve"> </w:t>
      </w:r>
      <w:r w:rsidR="0081256E" w:rsidRPr="008D6D1D">
        <w:t>eur</w:t>
      </w:r>
    </w:p>
    <w:p w:rsidR="00C51E06" w:rsidRPr="008D6D1D" w:rsidRDefault="008D06AF" w:rsidP="00131D1E">
      <w:pPr>
        <w:numPr>
          <w:ilvl w:val="0"/>
          <w:numId w:val="18"/>
        </w:numPr>
        <w:tabs>
          <w:tab w:val="right" w:pos="7513"/>
        </w:tabs>
        <w:spacing w:line="360" w:lineRule="auto"/>
      </w:pPr>
      <w:r w:rsidRPr="008D6D1D">
        <w:t>dlhodobým úverom z roku 2024</w:t>
      </w:r>
      <w:r w:rsidR="00C51E06" w:rsidRPr="008D6D1D">
        <w:tab/>
      </w:r>
      <w:r w:rsidR="008D6D1D" w:rsidRPr="008D6D1D">
        <w:t>389 823</w:t>
      </w:r>
      <w:r w:rsidR="00656BC0" w:rsidRPr="008D6D1D">
        <w:t xml:space="preserve"> </w:t>
      </w:r>
      <w:r w:rsidR="00C51E06" w:rsidRPr="008D6D1D">
        <w:t>eur</w:t>
      </w:r>
    </w:p>
    <w:p w:rsidR="00B16818" w:rsidRPr="008D6D1D" w:rsidRDefault="008D6D1D" w:rsidP="00B16818">
      <w:pPr>
        <w:numPr>
          <w:ilvl w:val="0"/>
          <w:numId w:val="18"/>
        </w:numPr>
        <w:tabs>
          <w:tab w:val="right" w:pos="7513"/>
        </w:tabs>
        <w:spacing w:line="360" w:lineRule="auto"/>
      </w:pPr>
      <w:r w:rsidRPr="008D6D1D">
        <w:t>dlhodobým úverom z roku 2025</w:t>
      </w:r>
      <w:r w:rsidR="00B16818" w:rsidRPr="008D6D1D">
        <w:tab/>
      </w:r>
      <w:r w:rsidRPr="008D6D1D">
        <w:t>1 449 571</w:t>
      </w:r>
      <w:r w:rsidR="00B16818" w:rsidRPr="008D6D1D">
        <w:t xml:space="preserve"> eur</w:t>
      </w:r>
    </w:p>
    <w:p w:rsidR="008D6D1D" w:rsidRPr="008D6D1D" w:rsidRDefault="008D6D1D" w:rsidP="00B16818">
      <w:pPr>
        <w:numPr>
          <w:ilvl w:val="0"/>
          <w:numId w:val="18"/>
        </w:numPr>
        <w:tabs>
          <w:tab w:val="right" w:pos="7513"/>
        </w:tabs>
        <w:spacing w:line="360" w:lineRule="auto"/>
      </w:pPr>
      <w:r w:rsidRPr="008D6D1D">
        <w:t>preklenovacím úverom</w:t>
      </w:r>
      <w:r w:rsidRPr="008D6D1D">
        <w:tab/>
        <w:t>1 764 816 eur</w:t>
      </w:r>
    </w:p>
    <w:p w:rsidR="001345DF" w:rsidRPr="008D6D1D" w:rsidRDefault="001345DF" w:rsidP="0030306B">
      <w:pPr>
        <w:pStyle w:val="Default"/>
        <w:numPr>
          <w:ilvl w:val="1"/>
          <w:numId w:val="1"/>
        </w:numPr>
        <w:spacing w:before="120"/>
        <w:ind w:left="777"/>
        <w:rPr>
          <w:b/>
          <w:color w:val="auto"/>
          <w:sz w:val="28"/>
          <w:szCs w:val="28"/>
        </w:rPr>
      </w:pPr>
      <w:r w:rsidRPr="008D6D1D">
        <w:rPr>
          <w:b/>
          <w:color w:val="auto"/>
          <w:sz w:val="28"/>
          <w:szCs w:val="28"/>
        </w:rPr>
        <w:t>Kryt</w:t>
      </w:r>
      <w:r w:rsidR="00EC12DB" w:rsidRPr="008D6D1D">
        <w:rPr>
          <w:b/>
          <w:color w:val="auto"/>
          <w:sz w:val="28"/>
          <w:szCs w:val="28"/>
        </w:rPr>
        <w:t>ie výdavkových finančných operácií</w:t>
      </w:r>
    </w:p>
    <w:p w:rsidR="00B25ECD" w:rsidRPr="008D6D1D" w:rsidRDefault="008D6D1D" w:rsidP="00131D1E">
      <w:pPr>
        <w:pStyle w:val="Default"/>
        <w:numPr>
          <w:ilvl w:val="0"/>
          <w:numId w:val="27"/>
        </w:numPr>
        <w:tabs>
          <w:tab w:val="right" w:pos="7513"/>
        </w:tabs>
        <w:spacing w:line="360" w:lineRule="auto"/>
        <w:ind w:left="709"/>
        <w:jc w:val="both"/>
        <w:rPr>
          <w:color w:val="auto"/>
        </w:rPr>
      </w:pPr>
      <w:r w:rsidRPr="008D6D1D">
        <w:rPr>
          <w:color w:val="auto"/>
        </w:rPr>
        <w:t>Prebytok bežného rozpočtu</w:t>
      </w:r>
      <w:r w:rsidR="00B25ECD" w:rsidRPr="008D6D1D">
        <w:rPr>
          <w:color w:val="auto"/>
        </w:rPr>
        <w:tab/>
      </w:r>
      <w:r w:rsidRPr="008D6D1D">
        <w:rPr>
          <w:color w:val="auto"/>
        </w:rPr>
        <w:t>422 373</w:t>
      </w:r>
      <w:r w:rsidR="00B25ECD" w:rsidRPr="008D6D1D">
        <w:rPr>
          <w:color w:val="auto"/>
        </w:rPr>
        <w:t xml:space="preserve"> eur</w:t>
      </w:r>
    </w:p>
    <w:p w:rsidR="008934C2" w:rsidRPr="008D6D1D" w:rsidRDefault="008D6D1D" w:rsidP="00131D1E">
      <w:pPr>
        <w:pStyle w:val="Default"/>
        <w:numPr>
          <w:ilvl w:val="0"/>
          <w:numId w:val="27"/>
        </w:numPr>
        <w:tabs>
          <w:tab w:val="right" w:pos="7513"/>
        </w:tabs>
        <w:spacing w:line="360" w:lineRule="auto"/>
        <w:ind w:left="709"/>
        <w:jc w:val="both"/>
        <w:rPr>
          <w:color w:val="auto"/>
        </w:rPr>
      </w:pPr>
      <w:r w:rsidRPr="008D6D1D">
        <w:rPr>
          <w:color w:val="auto"/>
        </w:rPr>
        <w:t>Investičným fondom</w:t>
      </w:r>
      <w:r w:rsidR="008934C2" w:rsidRPr="008D6D1D">
        <w:rPr>
          <w:color w:val="auto"/>
        </w:rPr>
        <w:t xml:space="preserve"> </w:t>
      </w:r>
      <w:r w:rsidR="008934C2" w:rsidRPr="008D6D1D">
        <w:rPr>
          <w:color w:val="auto"/>
        </w:rPr>
        <w:tab/>
      </w:r>
      <w:r w:rsidRPr="008D6D1D">
        <w:rPr>
          <w:color w:val="auto"/>
        </w:rPr>
        <w:t>118 441</w:t>
      </w:r>
      <w:r w:rsidR="008934C2" w:rsidRPr="008D6D1D">
        <w:rPr>
          <w:color w:val="auto"/>
        </w:rPr>
        <w:t xml:space="preserve"> eur  </w:t>
      </w:r>
    </w:p>
    <w:p w:rsidR="008934C2" w:rsidRPr="006D3253" w:rsidRDefault="008934C2" w:rsidP="008934C2">
      <w:pPr>
        <w:pStyle w:val="Default"/>
        <w:ind w:firstLine="567"/>
        <w:rPr>
          <w:color w:val="FF0000"/>
        </w:rPr>
      </w:pPr>
    </w:p>
    <w:p w:rsidR="0041654C" w:rsidRPr="008D6D1D" w:rsidRDefault="0041654C" w:rsidP="0041654C">
      <w:pPr>
        <w:pStyle w:val="Nadpis2"/>
        <w:tabs>
          <w:tab w:val="left" w:pos="2160"/>
          <w:tab w:val="right" w:pos="8460"/>
        </w:tabs>
        <w:spacing w:before="0" w:after="0"/>
        <w:rPr>
          <w:rFonts w:ascii="Times New Roman" w:hAnsi="Times New Roman" w:cs="Times New Roman"/>
          <w:i w:val="0"/>
          <w:iCs w:val="0"/>
          <w:sz w:val="32"/>
          <w:szCs w:val="32"/>
        </w:rPr>
      </w:pPr>
      <w:bookmarkStart w:id="0" w:name="_Toc145831829"/>
      <w:bookmarkStart w:id="1" w:name="_Toc248195363"/>
      <w:bookmarkStart w:id="2" w:name="_Toc279732846"/>
      <w:bookmarkStart w:id="3" w:name="_Toc311110237"/>
      <w:bookmarkStart w:id="4" w:name="_Toc342376875"/>
      <w:bookmarkStart w:id="5" w:name="_Toc342376876"/>
      <w:r w:rsidRPr="008D6D1D">
        <w:rPr>
          <w:rFonts w:ascii="Times New Roman" w:hAnsi="Times New Roman" w:cs="Times New Roman"/>
          <w:sz w:val="32"/>
          <w:szCs w:val="32"/>
          <w:u w:val="single"/>
        </w:rPr>
        <w:t xml:space="preserve">2. B e ž n é    p r í j m </w:t>
      </w:r>
      <w:bookmarkEnd w:id="0"/>
      <w:r w:rsidRPr="008D6D1D">
        <w:rPr>
          <w:rFonts w:ascii="Times New Roman" w:hAnsi="Times New Roman" w:cs="Times New Roman"/>
          <w:sz w:val="32"/>
          <w:szCs w:val="32"/>
          <w:u w:val="single"/>
        </w:rPr>
        <w:t>y</w:t>
      </w:r>
      <w:bookmarkEnd w:id="1"/>
      <w:bookmarkEnd w:id="2"/>
      <w:bookmarkEnd w:id="3"/>
      <w:bookmarkEnd w:id="4"/>
      <w:bookmarkEnd w:id="5"/>
      <w:r w:rsidRPr="008D6D1D">
        <w:rPr>
          <w:rFonts w:ascii="Times New Roman" w:hAnsi="Times New Roman" w:cs="Times New Roman"/>
          <w:i w:val="0"/>
          <w:iCs w:val="0"/>
          <w:sz w:val="32"/>
          <w:szCs w:val="32"/>
        </w:rPr>
        <w:tab/>
      </w:r>
    </w:p>
    <w:p w:rsidR="0041654C" w:rsidRPr="008D6D1D" w:rsidRDefault="0041654C" w:rsidP="003D6CEC">
      <w:pPr>
        <w:pStyle w:val="Nadpis3"/>
        <w:tabs>
          <w:tab w:val="right" w:pos="8460"/>
        </w:tabs>
        <w:spacing w:line="360" w:lineRule="auto"/>
        <w:rPr>
          <w:rFonts w:ascii="Times New Roman" w:hAnsi="Times New Roman" w:cs="Times New Roman"/>
          <w:sz w:val="32"/>
          <w:szCs w:val="32"/>
        </w:rPr>
      </w:pPr>
      <w:bookmarkStart w:id="6" w:name="_Toc145831830"/>
      <w:bookmarkStart w:id="7" w:name="_Toc342376877"/>
      <w:r w:rsidRPr="008D6D1D">
        <w:rPr>
          <w:rFonts w:ascii="Times New Roman" w:hAnsi="Times New Roman" w:cs="Times New Roman"/>
          <w:sz w:val="32"/>
          <w:szCs w:val="32"/>
        </w:rPr>
        <w:t>2.1 Daňové príjmy</w:t>
      </w:r>
      <w:bookmarkEnd w:id="6"/>
      <w:r w:rsidRPr="008D6D1D">
        <w:rPr>
          <w:rFonts w:ascii="Times New Roman" w:hAnsi="Times New Roman" w:cs="Times New Roman"/>
          <w:sz w:val="32"/>
          <w:szCs w:val="32"/>
        </w:rPr>
        <w:tab/>
      </w:r>
      <w:bookmarkEnd w:id="7"/>
    </w:p>
    <w:p w:rsidR="0041654C" w:rsidRPr="008D6D1D" w:rsidRDefault="0041654C" w:rsidP="0099107F">
      <w:pPr>
        <w:tabs>
          <w:tab w:val="right" w:pos="8505"/>
        </w:tabs>
        <w:rPr>
          <w:b/>
        </w:rPr>
      </w:pPr>
      <w:bookmarkStart w:id="8" w:name="_Toc145831831"/>
      <w:r w:rsidRPr="008D6D1D">
        <w:rPr>
          <w:b/>
        </w:rPr>
        <w:t>2.1.1 Výnos dane z príjmov poukázaný územnej samospráve</w:t>
      </w:r>
      <w:bookmarkEnd w:id="8"/>
      <w:r w:rsidR="0099107F" w:rsidRPr="008D6D1D">
        <w:tab/>
      </w:r>
      <w:r w:rsidR="008D6D1D" w:rsidRPr="008D6D1D">
        <w:rPr>
          <w:b/>
        </w:rPr>
        <w:t xml:space="preserve">6 595 366 </w:t>
      </w:r>
      <w:r w:rsidR="00380218" w:rsidRPr="008D6D1D">
        <w:rPr>
          <w:b/>
        </w:rPr>
        <w:t>e</w:t>
      </w:r>
      <w:r w:rsidRPr="008D6D1D">
        <w:rPr>
          <w:b/>
        </w:rPr>
        <w:t>ur</w:t>
      </w:r>
    </w:p>
    <w:p w:rsidR="003D6CEC" w:rsidRPr="009018B6" w:rsidRDefault="0041654C" w:rsidP="001000A3">
      <w:pPr>
        <w:spacing w:line="360" w:lineRule="auto"/>
        <w:jc w:val="both"/>
      </w:pPr>
      <w:r w:rsidRPr="009018B6">
        <w:tab/>
      </w:r>
    </w:p>
    <w:p w:rsidR="0041654C" w:rsidRPr="009018B6" w:rsidRDefault="0041654C" w:rsidP="00C9169E">
      <w:pPr>
        <w:spacing w:line="360" w:lineRule="auto"/>
        <w:jc w:val="both"/>
      </w:pPr>
      <w:r w:rsidRPr="009018B6">
        <w:t>Tento výnos dane sa prerozdeľuje v zmysle zákona č. 564/2004 Z. z. o rozpočtovom určení výnosu dane z príjmov územnej samospráve a o zmene a doplnení niektorých zákonov.</w:t>
      </w:r>
    </w:p>
    <w:p w:rsidR="008C070F" w:rsidRPr="006D3253" w:rsidRDefault="0041654C" w:rsidP="0030306B">
      <w:pPr>
        <w:pStyle w:val="ZkladntextIMP"/>
        <w:widowControl/>
        <w:tabs>
          <w:tab w:val="left" w:pos="720"/>
          <w:tab w:val="right" w:pos="8460"/>
        </w:tabs>
        <w:spacing w:line="360" w:lineRule="auto"/>
        <w:rPr>
          <w:color w:val="FF0000"/>
          <w:lang w:val="sk-SK"/>
        </w:rPr>
      </w:pPr>
      <w:r w:rsidRPr="009018B6">
        <w:rPr>
          <w:lang w:val="sk-SK"/>
        </w:rPr>
        <w:t>Výšku určuje nariadenie vlády SR č. 668/2004</w:t>
      </w:r>
      <w:r w:rsidR="00380218" w:rsidRPr="009018B6">
        <w:rPr>
          <w:lang w:val="sk-SK"/>
        </w:rPr>
        <w:t>.</w:t>
      </w:r>
      <w:r w:rsidR="008C070F" w:rsidRPr="006D3253">
        <w:rPr>
          <w:color w:val="FF0000"/>
          <w:lang w:val="sk-SK"/>
        </w:rPr>
        <w:tab/>
      </w:r>
    </w:p>
    <w:p w:rsidR="0041654C" w:rsidRPr="006D3253" w:rsidRDefault="0041654C" w:rsidP="0041654C">
      <w:pPr>
        <w:pStyle w:val="ZkladntextIMP"/>
        <w:widowControl/>
        <w:tabs>
          <w:tab w:val="left" w:pos="720"/>
          <w:tab w:val="right" w:pos="8460"/>
        </w:tabs>
        <w:spacing w:line="240" w:lineRule="auto"/>
        <w:rPr>
          <w:color w:val="FF0000"/>
          <w:lang w:val="sk-SK"/>
        </w:rPr>
      </w:pPr>
      <w:r w:rsidRPr="006D3253">
        <w:rPr>
          <w:color w:val="FF0000"/>
          <w:lang w:val="sk-SK"/>
        </w:rPr>
        <w:tab/>
      </w:r>
      <w:bookmarkStart w:id="9" w:name="_Toc145831832"/>
    </w:p>
    <w:p w:rsidR="0041654C" w:rsidRPr="009018B6" w:rsidRDefault="0041654C" w:rsidP="0041654C">
      <w:pPr>
        <w:pStyle w:val="ZkladntextIMP"/>
        <w:widowControl/>
        <w:tabs>
          <w:tab w:val="left" w:pos="720"/>
          <w:tab w:val="right" w:pos="8460"/>
        </w:tabs>
        <w:spacing w:line="240" w:lineRule="auto"/>
        <w:rPr>
          <w:b/>
        </w:rPr>
      </w:pPr>
      <w:r w:rsidRPr="009018B6">
        <w:rPr>
          <w:b/>
        </w:rPr>
        <w:t>2.1.2. Dane z majetku</w:t>
      </w:r>
      <w:bookmarkEnd w:id="9"/>
      <w:r w:rsidRPr="009018B6">
        <w:tab/>
      </w:r>
      <w:r w:rsidR="008D06AF" w:rsidRPr="009018B6">
        <w:rPr>
          <w:b/>
        </w:rPr>
        <w:t>800 752</w:t>
      </w:r>
      <w:r w:rsidR="00EB0E26" w:rsidRPr="009018B6">
        <w:rPr>
          <w:b/>
        </w:rPr>
        <w:t xml:space="preserve"> </w:t>
      </w:r>
      <w:r w:rsidR="000441C9" w:rsidRPr="009018B6">
        <w:rPr>
          <w:b/>
        </w:rPr>
        <w:t>e</w:t>
      </w:r>
      <w:r w:rsidRPr="009018B6">
        <w:rPr>
          <w:b/>
        </w:rPr>
        <w:t>ur</w:t>
      </w:r>
    </w:p>
    <w:p w:rsidR="000441C9" w:rsidRPr="009018B6" w:rsidRDefault="000441C9" w:rsidP="0041654C">
      <w:pPr>
        <w:pStyle w:val="ZkladntextIMP"/>
        <w:widowControl/>
        <w:tabs>
          <w:tab w:val="left" w:pos="720"/>
          <w:tab w:val="right" w:pos="8460"/>
        </w:tabs>
        <w:spacing w:line="240" w:lineRule="auto"/>
      </w:pPr>
    </w:p>
    <w:p w:rsidR="0041654C" w:rsidRPr="009018B6" w:rsidRDefault="0041654C" w:rsidP="001000A3">
      <w:pPr>
        <w:spacing w:line="360" w:lineRule="auto"/>
        <w:jc w:val="both"/>
      </w:pPr>
      <w:r w:rsidRPr="009018B6">
        <w:rPr>
          <w:b/>
          <w:sz w:val="32"/>
          <w14:shadow w14:blurRad="50800" w14:dist="38100" w14:dir="2700000" w14:sx="100000" w14:sy="100000" w14:kx="0" w14:ky="0" w14:algn="tl">
            <w14:srgbClr w14:val="000000">
              <w14:alpha w14:val="60000"/>
            </w14:srgbClr>
          </w14:shadow>
        </w:rPr>
        <w:tab/>
      </w:r>
      <w:r w:rsidRPr="009018B6">
        <w:t>Daň z nehnuteľnosti upravuje zákon č. 582/2004 Z. z. o miestnych daniach a poplatku za komunálne odpady a drobné stavebné odpady v znení neskorších predpisov. Daň z nehnuteľnosti sa ďalej člení na:</w:t>
      </w:r>
    </w:p>
    <w:p w:rsidR="0041654C" w:rsidRPr="009018B6" w:rsidRDefault="0041654C" w:rsidP="001000A3">
      <w:pPr>
        <w:numPr>
          <w:ilvl w:val="0"/>
          <w:numId w:val="3"/>
        </w:numPr>
        <w:tabs>
          <w:tab w:val="right" w:pos="8460"/>
        </w:tabs>
        <w:spacing w:line="360" w:lineRule="auto"/>
        <w:jc w:val="both"/>
      </w:pPr>
      <w:r w:rsidRPr="009018B6">
        <w:t>daň z pozemkov</w:t>
      </w:r>
      <w:r w:rsidRPr="009018B6">
        <w:tab/>
      </w:r>
      <w:r w:rsidR="00B16818" w:rsidRPr="009018B6">
        <w:t>220 532</w:t>
      </w:r>
      <w:r w:rsidR="005A6D7D" w:rsidRPr="009018B6">
        <w:t xml:space="preserve"> </w:t>
      </w:r>
      <w:r w:rsidR="000441C9" w:rsidRPr="009018B6">
        <w:t>e</w:t>
      </w:r>
      <w:r w:rsidRPr="009018B6">
        <w:t>ur</w:t>
      </w:r>
    </w:p>
    <w:p w:rsidR="0041654C" w:rsidRPr="009018B6" w:rsidRDefault="0041654C" w:rsidP="001000A3">
      <w:pPr>
        <w:numPr>
          <w:ilvl w:val="0"/>
          <w:numId w:val="3"/>
        </w:numPr>
        <w:tabs>
          <w:tab w:val="right" w:pos="8460"/>
        </w:tabs>
        <w:spacing w:line="360" w:lineRule="auto"/>
        <w:jc w:val="both"/>
      </w:pPr>
      <w:r w:rsidRPr="009018B6">
        <w:t>daň zo stavieb</w:t>
      </w:r>
      <w:r w:rsidRPr="009018B6">
        <w:tab/>
      </w:r>
      <w:r w:rsidR="00B16818" w:rsidRPr="009018B6">
        <w:t>513 583</w:t>
      </w:r>
      <w:r w:rsidR="005A6D7D" w:rsidRPr="009018B6">
        <w:t xml:space="preserve"> </w:t>
      </w:r>
      <w:r w:rsidR="000441C9" w:rsidRPr="009018B6">
        <w:t>e</w:t>
      </w:r>
      <w:r w:rsidRPr="009018B6">
        <w:t>ur</w:t>
      </w:r>
    </w:p>
    <w:p w:rsidR="0041654C" w:rsidRPr="009018B6" w:rsidRDefault="0041654C" w:rsidP="001000A3">
      <w:pPr>
        <w:numPr>
          <w:ilvl w:val="0"/>
          <w:numId w:val="3"/>
        </w:numPr>
        <w:tabs>
          <w:tab w:val="right" w:pos="8460"/>
        </w:tabs>
        <w:spacing w:line="360" w:lineRule="auto"/>
        <w:jc w:val="both"/>
      </w:pPr>
      <w:r w:rsidRPr="009018B6">
        <w:t>daň z bytov a nebytových priestorov</w:t>
      </w:r>
      <w:r w:rsidRPr="009018B6">
        <w:tab/>
      </w:r>
      <w:r w:rsidR="00B16818" w:rsidRPr="009018B6">
        <w:t>66 637</w:t>
      </w:r>
      <w:r w:rsidR="005A6D7D" w:rsidRPr="009018B6">
        <w:t xml:space="preserve"> </w:t>
      </w:r>
      <w:r w:rsidR="000441C9" w:rsidRPr="009018B6">
        <w:t>e</w:t>
      </w:r>
      <w:r w:rsidRPr="009018B6">
        <w:t>ur</w:t>
      </w:r>
      <w:r w:rsidRPr="009018B6">
        <w:tab/>
      </w:r>
    </w:p>
    <w:p w:rsidR="0041654C" w:rsidRPr="009018B6" w:rsidRDefault="0041654C" w:rsidP="0041654C">
      <w:pPr>
        <w:jc w:val="both"/>
      </w:pPr>
      <w:r w:rsidRPr="009018B6">
        <w:t xml:space="preserve">Daň sa vyrubuje podľa stavu k 1. januáru zdaňovacieho obdobia. </w:t>
      </w:r>
    </w:p>
    <w:p w:rsidR="00666AE9" w:rsidRPr="006D3253" w:rsidRDefault="00666AE9" w:rsidP="0041654C">
      <w:pPr>
        <w:pStyle w:val="Nadpis4"/>
        <w:tabs>
          <w:tab w:val="right" w:pos="8460"/>
        </w:tabs>
        <w:rPr>
          <w:color w:val="FF0000"/>
          <w:sz w:val="24"/>
        </w:rPr>
      </w:pPr>
      <w:bookmarkStart w:id="10" w:name="_Toc145831833"/>
    </w:p>
    <w:p w:rsidR="00666AE9" w:rsidRPr="006D3253" w:rsidRDefault="00666AE9" w:rsidP="00666AE9">
      <w:pPr>
        <w:rPr>
          <w:color w:val="FF0000"/>
        </w:rPr>
      </w:pPr>
    </w:p>
    <w:p w:rsidR="0041654C" w:rsidRPr="009018B6" w:rsidRDefault="0041654C" w:rsidP="0041654C">
      <w:pPr>
        <w:pStyle w:val="Nadpis4"/>
        <w:tabs>
          <w:tab w:val="right" w:pos="8460"/>
        </w:tabs>
        <w:rPr>
          <w:sz w:val="24"/>
        </w:rPr>
      </w:pPr>
      <w:r w:rsidRPr="009018B6">
        <w:rPr>
          <w:sz w:val="24"/>
        </w:rPr>
        <w:lastRenderedPageBreak/>
        <w:t>2.1.3. Dane za tovary a služby</w:t>
      </w:r>
      <w:bookmarkEnd w:id="10"/>
      <w:r w:rsidRPr="009018B6">
        <w:rPr>
          <w:sz w:val="24"/>
        </w:rPr>
        <w:tab/>
      </w:r>
      <w:r w:rsidR="009018B6" w:rsidRPr="009018B6">
        <w:rPr>
          <w:sz w:val="24"/>
        </w:rPr>
        <w:t>829 200</w:t>
      </w:r>
      <w:r w:rsidR="005A6D7D" w:rsidRPr="009018B6">
        <w:rPr>
          <w:sz w:val="24"/>
        </w:rPr>
        <w:t xml:space="preserve"> </w:t>
      </w:r>
      <w:r w:rsidR="00F22694" w:rsidRPr="009018B6">
        <w:rPr>
          <w:sz w:val="24"/>
        </w:rPr>
        <w:t>e</w:t>
      </w:r>
      <w:r w:rsidRPr="009018B6">
        <w:rPr>
          <w:sz w:val="24"/>
        </w:rPr>
        <w:t>ur</w:t>
      </w:r>
    </w:p>
    <w:p w:rsidR="0041654C" w:rsidRPr="009018B6" w:rsidRDefault="0041654C" w:rsidP="001000A3">
      <w:pPr>
        <w:spacing w:line="360" w:lineRule="auto"/>
      </w:pPr>
      <w:r w:rsidRPr="009018B6">
        <w:tab/>
        <w:t>Dane za tovary a služby upravuje zákon č. 582/2004 Z.</w:t>
      </w:r>
      <w:r w:rsidR="00374FA5" w:rsidRPr="009018B6">
        <w:t xml:space="preserve"> </w:t>
      </w:r>
      <w:r w:rsidRPr="009018B6">
        <w:t>z. o miestnych daniach a poplatku za komunálne odpady a drobné stavebné odpady v znení neskorších predpisov.</w:t>
      </w:r>
    </w:p>
    <w:p w:rsidR="0041654C" w:rsidRPr="009018B6" w:rsidRDefault="0041654C" w:rsidP="001000A3">
      <w:pPr>
        <w:spacing w:line="360" w:lineRule="auto"/>
      </w:pPr>
      <w:r w:rsidRPr="009018B6">
        <w:t>2.1.3.1 dane za špecifické služby</w:t>
      </w:r>
    </w:p>
    <w:p w:rsidR="0041654C" w:rsidRPr="009018B6" w:rsidRDefault="0041654C" w:rsidP="001000A3">
      <w:pPr>
        <w:numPr>
          <w:ilvl w:val="0"/>
          <w:numId w:val="4"/>
        </w:numPr>
        <w:tabs>
          <w:tab w:val="right" w:pos="8460"/>
        </w:tabs>
        <w:spacing w:line="360" w:lineRule="auto"/>
        <w:ind w:left="720" w:hanging="360"/>
      </w:pPr>
      <w:r w:rsidRPr="009018B6">
        <w:t>za psa</w:t>
      </w:r>
      <w:r w:rsidRPr="009018B6">
        <w:tab/>
      </w:r>
      <w:r w:rsidR="00B16818" w:rsidRPr="009018B6">
        <w:t>11 800</w:t>
      </w:r>
      <w:r w:rsidR="00380218" w:rsidRPr="009018B6">
        <w:t xml:space="preserve"> </w:t>
      </w:r>
      <w:r w:rsidR="00BF34DB" w:rsidRPr="009018B6">
        <w:t>e</w:t>
      </w:r>
      <w:r w:rsidRPr="009018B6">
        <w:t>ur</w:t>
      </w:r>
    </w:p>
    <w:p w:rsidR="0041654C" w:rsidRPr="009018B6" w:rsidRDefault="0041654C" w:rsidP="001000A3">
      <w:pPr>
        <w:numPr>
          <w:ilvl w:val="0"/>
          <w:numId w:val="4"/>
        </w:numPr>
        <w:tabs>
          <w:tab w:val="right" w:pos="8460"/>
        </w:tabs>
        <w:spacing w:line="360" w:lineRule="auto"/>
      </w:pPr>
      <w:r w:rsidRPr="009018B6">
        <w:t>za nevýherné hracie automaty</w:t>
      </w:r>
      <w:r w:rsidRPr="009018B6">
        <w:tab/>
      </w:r>
      <w:r w:rsidR="00380218" w:rsidRPr="009018B6">
        <w:t>300</w:t>
      </w:r>
      <w:r w:rsidR="00D516F4" w:rsidRPr="009018B6">
        <w:t xml:space="preserve"> </w:t>
      </w:r>
      <w:r w:rsidR="00BF34DB" w:rsidRPr="009018B6">
        <w:t>e</w:t>
      </w:r>
      <w:r w:rsidRPr="009018B6">
        <w:t>ur</w:t>
      </w:r>
    </w:p>
    <w:p w:rsidR="0041654C" w:rsidRPr="009018B6" w:rsidRDefault="0041654C" w:rsidP="001000A3">
      <w:pPr>
        <w:numPr>
          <w:ilvl w:val="0"/>
          <w:numId w:val="4"/>
        </w:numPr>
        <w:tabs>
          <w:tab w:val="right" w:pos="8460"/>
        </w:tabs>
        <w:spacing w:line="360" w:lineRule="auto"/>
        <w:ind w:left="720" w:hanging="360"/>
      </w:pPr>
      <w:r w:rsidRPr="009018B6">
        <w:t>za predajné automaty</w:t>
      </w:r>
      <w:r w:rsidRPr="009018B6">
        <w:tab/>
      </w:r>
      <w:r w:rsidR="0030306B" w:rsidRPr="009018B6">
        <w:t>1 000</w:t>
      </w:r>
      <w:r w:rsidR="00D516F4" w:rsidRPr="009018B6">
        <w:t xml:space="preserve"> </w:t>
      </w:r>
      <w:r w:rsidR="00BF34DB" w:rsidRPr="009018B6">
        <w:t>e</w:t>
      </w:r>
      <w:r w:rsidRPr="009018B6">
        <w:t>ur</w:t>
      </w:r>
    </w:p>
    <w:p w:rsidR="0041654C" w:rsidRPr="009018B6" w:rsidRDefault="0041654C" w:rsidP="001000A3">
      <w:pPr>
        <w:numPr>
          <w:ilvl w:val="0"/>
          <w:numId w:val="4"/>
        </w:numPr>
        <w:tabs>
          <w:tab w:val="right" w:pos="8460"/>
        </w:tabs>
        <w:spacing w:line="360" w:lineRule="auto"/>
        <w:ind w:left="720" w:hanging="360"/>
      </w:pPr>
      <w:r w:rsidRPr="009018B6">
        <w:t>za ubytovanie</w:t>
      </w:r>
      <w:r w:rsidRPr="009018B6">
        <w:tab/>
      </w:r>
      <w:r w:rsidR="00B16818" w:rsidRPr="009018B6">
        <w:t>13 000</w:t>
      </w:r>
      <w:r w:rsidR="00D516F4" w:rsidRPr="009018B6">
        <w:t xml:space="preserve"> </w:t>
      </w:r>
      <w:r w:rsidR="00BF34DB" w:rsidRPr="009018B6">
        <w:t>e</w:t>
      </w:r>
      <w:r w:rsidRPr="009018B6">
        <w:t>ur</w:t>
      </w:r>
    </w:p>
    <w:p w:rsidR="0041654C" w:rsidRPr="009018B6" w:rsidRDefault="0041654C" w:rsidP="001000A3">
      <w:pPr>
        <w:numPr>
          <w:ilvl w:val="0"/>
          <w:numId w:val="4"/>
        </w:numPr>
        <w:tabs>
          <w:tab w:val="right" w:pos="8460"/>
        </w:tabs>
        <w:spacing w:line="360" w:lineRule="auto"/>
        <w:ind w:left="720" w:hanging="360"/>
      </w:pPr>
      <w:r w:rsidRPr="009018B6">
        <w:t>za užívanie verejného priestranstva</w:t>
      </w:r>
      <w:r w:rsidRPr="009018B6">
        <w:tab/>
      </w:r>
      <w:r w:rsidR="00B16818" w:rsidRPr="009018B6">
        <w:t>1</w:t>
      </w:r>
      <w:r w:rsidR="009018B6" w:rsidRPr="009018B6">
        <w:t xml:space="preserve">2 </w:t>
      </w:r>
      <w:r w:rsidR="00B16818" w:rsidRPr="009018B6">
        <w:t>000</w:t>
      </w:r>
      <w:r w:rsidR="00D516F4" w:rsidRPr="009018B6">
        <w:t xml:space="preserve"> </w:t>
      </w:r>
      <w:r w:rsidR="00BF34DB" w:rsidRPr="009018B6">
        <w:t>e</w:t>
      </w:r>
      <w:r w:rsidRPr="009018B6">
        <w:t>ur</w:t>
      </w:r>
    </w:p>
    <w:p w:rsidR="0041654C" w:rsidRPr="009018B6" w:rsidRDefault="0041654C" w:rsidP="0041654C">
      <w:pPr>
        <w:numPr>
          <w:ilvl w:val="0"/>
          <w:numId w:val="4"/>
        </w:numPr>
        <w:tabs>
          <w:tab w:val="right" w:pos="8460"/>
        </w:tabs>
        <w:ind w:left="720" w:hanging="360"/>
      </w:pPr>
      <w:r w:rsidRPr="009018B6">
        <w:t>za komunálne odpady a drobné stavebné odpady</w:t>
      </w:r>
      <w:r w:rsidRPr="009018B6">
        <w:tab/>
      </w:r>
      <w:r w:rsidR="009018B6" w:rsidRPr="009018B6">
        <w:t>791 000</w:t>
      </w:r>
      <w:r w:rsidR="00D516F4" w:rsidRPr="009018B6">
        <w:t xml:space="preserve"> </w:t>
      </w:r>
      <w:r w:rsidR="00BF34DB" w:rsidRPr="009018B6">
        <w:t>e</w:t>
      </w:r>
      <w:r w:rsidRPr="009018B6">
        <w:t>ur</w:t>
      </w:r>
    </w:p>
    <w:p w:rsidR="00380218" w:rsidRPr="0048349E" w:rsidRDefault="00380218" w:rsidP="00380218">
      <w:pPr>
        <w:tabs>
          <w:tab w:val="right" w:pos="8460"/>
        </w:tabs>
        <w:ind w:left="360"/>
        <w:rPr>
          <w:sz w:val="18"/>
          <w:szCs w:val="18"/>
        </w:rPr>
      </w:pPr>
    </w:p>
    <w:p w:rsidR="001000A3" w:rsidRPr="0048349E" w:rsidRDefault="0041654C" w:rsidP="001000A3">
      <w:pPr>
        <w:pStyle w:val="Nadpis3"/>
        <w:numPr>
          <w:ilvl w:val="1"/>
          <w:numId w:val="19"/>
        </w:numPr>
        <w:tabs>
          <w:tab w:val="right" w:pos="8460"/>
        </w:tabs>
        <w:rPr>
          <w:rFonts w:ascii="Times New Roman" w:hAnsi="Times New Roman"/>
          <w:sz w:val="32"/>
        </w:rPr>
      </w:pPr>
      <w:bookmarkStart w:id="11" w:name="_Toc145831834"/>
      <w:bookmarkStart w:id="12" w:name="_Toc342376878"/>
      <w:r w:rsidRPr="0048349E">
        <w:rPr>
          <w:rFonts w:ascii="Times New Roman" w:hAnsi="Times New Roman"/>
          <w:sz w:val="32"/>
        </w:rPr>
        <w:t>Nedaňové príjmy</w:t>
      </w:r>
      <w:bookmarkEnd w:id="11"/>
      <w:bookmarkEnd w:id="12"/>
    </w:p>
    <w:p w:rsidR="001000A3" w:rsidRPr="0048349E" w:rsidRDefault="001000A3" w:rsidP="001000A3">
      <w:pPr>
        <w:rPr>
          <w:sz w:val="18"/>
          <w:szCs w:val="18"/>
        </w:rPr>
      </w:pPr>
    </w:p>
    <w:p w:rsidR="001000A3" w:rsidRPr="0048349E" w:rsidRDefault="001000A3" w:rsidP="001000A3">
      <w:pPr>
        <w:spacing w:line="360" w:lineRule="auto"/>
      </w:pPr>
      <w:r w:rsidRPr="0048349E">
        <w:tab/>
        <w:t>Nedaňové príjmy sú tvorené príjmami z majetku mesta (nájomné) a administratívnymi poplatkami (pokuty, penále, sankčné úroky).</w:t>
      </w:r>
    </w:p>
    <w:p w:rsidR="0041654C" w:rsidRPr="006D3253" w:rsidRDefault="001000A3" w:rsidP="001000A3">
      <w:pPr>
        <w:spacing w:line="360" w:lineRule="auto"/>
        <w:rPr>
          <w:color w:val="FF0000"/>
        </w:rPr>
      </w:pPr>
      <w:r w:rsidRPr="0048349E">
        <w:tab/>
        <w:t>Príjmy z nájmov pozemkov fyzických a právnických osôb nie sú zapojené do rozpočtu bežných výdavkov, ale sú súčasťou rozpočtu kapitálových výdavkov.</w:t>
      </w:r>
      <w:r w:rsidR="0041654C" w:rsidRPr="006D3253">
        <w:rPr>
          <w:color w:val="FF0000"/>
        </w:rPr>
        <w:tab/>
      </w:r>
    </w:p>
    <w:p w:rsidR="0041654C" w:rsidRPr="002C3341" w:rsidRDefault="0041654C" w:rsidP="0041654C">
      <w:pPr>
        <w:pStyle w:val="Nadpis3"/>
        <w:rPr>
          <w:rFonts w:ascii="Times New Roman" w:hAnsi="Times New Roman"/>
          <w:sz w:val="32"/>
        </w:rPr>
      </w:pPr>
      <w:bookmarkStart w:id="13" w:name="_Toc145831839"/>
      <w:bookmarkStart w:id="14" w:name="_Toc342376879"/>
      <w:r w:rsidRPr="002C3341">
        <w:rPr>
          <w:rFonts w:ascii="Times New Roman" w:hAnsi="Times New Roman"/>
          <w:sz w:val="32"/>
        </w:rPr>
        <w:t>2.3  Granty a transfery</w:t>
      </w:r>
      <w:bookmarkEnd w:id="13"/>
      <w:bookmarkEnd w:id="14"/>
    </w:p>
    <w:p w:rsidR="0041654C" w:rsidRPr="002C3341" w:rsidRDefault="001000A3" w:rsidP="0041654C">
      <w:pPr>
        <w:pStyle w:val="Nadpis4"/>
        <w:tabs>
          <w:tab w:val="right" w:pos="8820"/>
        </w:tabs>
        <w:ind w:firstLine="720"/>
        <w:jc w:val="both"/>
        <w:rPr>
          <w:sz w:val="24"/>
        </w:rPr>
      </w:pPr>
      <w:r w:rsidRPr="002C3341">
        <w:rPr>
          <w:b w:val="0"/>
          <w:sz w:val="24"/>
        </w:rPr>
        <w:t>Zoznam bežných grantov a transferov na rok 20</w:t>
      </w:r>
      <w:r w:rsidR="005A6D7D" w:rsidRPr="002C3341">
        <w:rPr>
          <w:b w:val="0"/>
          <w:sz w:val="24"/>
        </w:rPr>
        <w:t>2</w:t>
      </w:r>
      <w:r w:rsidR="002C3341" w:rsidRPr="002C3341">
        <w:rPr>
          <w:b w:val="0"/>
          <w:sz w:val="24"/>
        </w:rPr>
        <w:t>5</w:t>
      </w:r>
      <w:r w:rsidRPr="002C3341">
        <w:rPr>
          <w:b w:val="0"/>
          <w:sz w:val="24"/>
        </w:rPr>
        <w:t xml:space="preserve"> je súčasťou tabuľkovej časti.</w:t>
      </w:r>
      <w:r w:rsidR="0041654C" w:rsidRPr="002C3341">
        <w:tab/>
      </w:r>
    </w:p>
    <w:p w:rsidR="0041654C" w:rsidRPr="002C3341" w:rsidRDefault="0041654C" w:rsidP="0041654C">
      <w:pPr>
        <w:pStyle w:val="Nadpis2"/>
        <w:tabs>
          <w:tab w:val="right" w:pos="8460"/>
        </w:tabs>
        <w:rPr>
          <w:rFonts w:ascii="Times New Roman" w:hAnsi="Times New Roman" w:cs="Times New Roman"/>
          <w:sz w:val="32"/>
          <w:szCs w:val="32"/>
          <w:u w:val="single"/>
        </w:rPr>
      </w:pPr>
      <w:bookmarkStart w:id="15" w:name="_Toc342376880"/>
      <w:r w:rsidRPr="002C3341">
        <w:rPr>
          <w:rFonts w:ascii="Times New Roman" w:hAnsi="Times New Roman" w:cs="Times New Roman"/>
          <w:sz w:val="32"/>
          <w:szCs w:val="32"/>
          <w:u w:val="single"/>
        </w:rPr>
        <w:t>3. Bežné v ý d a v k y</w:t>
      </w:r>
      <w:bookmarkEnd w:id="15"/>
    </w:p>
    <w:p w:rsidR="001000A3" w:rsidRPr="002C3341" w:rsidRDefault="00916FF1" w:rsidP="003F09D6">
      <w:pPr>
        <w:jc w:val="both"/>
      </w:pPr>
      <w:r w:rsidRPr="002C3341">
        <w:tab/>
      </w:r>
    </w:p>
    <w:p w:rsidR="00D37FFD" w:rsidRPr="002C3341" w:rsidRDefault="00D37FFD" w:rsidP="006121A5">
      <w:pPr>
        <w:spacing w:line="360" w:lineRule="auto"/>
        <w:ind w:firstLine="709"/>
        <w:jc w:val="both"/>
      </w:pPr>
      <w:r w:rsidRPr="002C3341">
        <w:t>Rozpočet miezd je zostavený podľa platovej inventúry a zohľadňuje súčasný stav zamestnancov mesta.</w:t>
      </w:r>
      <w:r w:rsidR="00C40679" w:rsidRPr="002C3341">
        <w:t xml:space="preserve"> </w:t>
      </w:r>
      <w:r w:rsidR="009241E1" w:rsidRPr="002C3341">
        <w:t>V roku 2025 nie je plánovaná žiadna valorizácia m</w:t>
      </w:r>
      <w:r w:rsidR="009734A8">
        <w:t>i</w:t>
      </w:r>
      <w:r w:rsidR="009241E1" w:rsidRPr="002C3341">
        <w:t>ezd.</w:t>
      </w:r>
      <w:r w:rsidRPr="002C3341">
        <w:t xml:space="preserve"> </w:t>
      </w:r>
      <w:r w:rsidR="005A6D7D" w:rsidRPr="002C3341">
        <w:t>V rozpočte miezd nie sú zahrnuté výdavky na odmeny zamestnancov.</w:t>
      </w:r>
    </w:p>
    <w:p w:rsidR="00A33C87" w:rsidRPr="006D3253" w:rsidRDefault="00D37FFD" w:rsidP="001000A3">
      <w:pPr>
        <w:spacing w:line="360" w:lineRule="auto"/>
        <w:jc w:val="both"/>
        <w:rPr>
          <w:color w:val="FF0000"/>
        </w:rPr>
      </w:pPr>
      <w:r w:rsidRPr="006D3253">
        <w:rPr>
          <w:color w:val="FF0000"/>
        </w:rPr>
        <w:tab/>
      </w:r>
    </w:p>
    <w:p w:rsidR="006D50E6" w:rsidRPr="006D3253" w:rsidRDefault="006D50E6">
      <w:pPr>
        <w:rPr>
          <w:b/>
          <w:bCs/>
          <w:i/>
          <w:iCs/>
          <w:color w:val="FF0000"/>
          <w:sz w:val="32"/>
          <w:szCs w:val="32"/>
          <w:u w:val="single"/>
        </w:rPr>
      </w:pPr>
      <w:bookmarkStart w:id="16" w:name="_Toc342376881"/>
      <w:r w:rsidRPr="006D3253">
        <w:rPr>
          <w:color w:val="FF0000"/>
          <w:sz w:val="32"/>
          <w:szCs w:val="32"/>
          <w:u w:val="single"/>
        </w:rPr>
        <w:br w:type="page"/>
      </w:r>
    </w:p>
    <w:p w:rsidR="0041654C" w:rsidRPr="002C3341" w:rsidRDefault="0041654C" w:rsidP="0041654C">
      <w:pPr>
        <w:pStyle w:val="Nadpis2"/>
        <w:tabs>
          <w:tab w:val="right" w:pos="8460"/>
        </w:tabs>
        <w:rPr>
          <w:rFonts w:ascii="Times New Roman" w:hAnsi="Times New Roman" w:cs="Times New Roman"/>
          <w:bCs w:val="0"/>
          <w:i w:val="0"/>
          <w:iCs w:val="0"/>
          <w:sz w:val="32"/>
          <w:szCs w:val="32"/>
          <w:u w:val="double"/>
          <w14:shadow w14:blurRad="50800" w14:dist="38100" w14:dir="2700000" w14:sx="100000" w14:sy="100000" w14:kx="0" w14:ky="0" w14:algn="tl">
            <w14:srgbClr w14:val="000000">
              <w14:alpha w14:val="60000"/>
            </w14:srgbClr>
          </w14:shadow>
        </w:rPr>
      </w:pPr>
      <w:r w:rsidRPr="002C3341">
        <w:rPr>
          <w:rFonts w:ascii="Times New Roman" w:hAnsi="Times New Roman" w:cs="Times New Roman"/>
          <w:sz w:val="32"/>
          <w:szCs w:val="32"/>
          <w:u w:val="single"/>
        </w:rPr>
        <w:lastRenderedPageBreak/>
        <w:t>4. Kapitálové   p r í j m y</w:t>
      </w:r>
      <w:bookmarkEnd w:id="16"/>
    </w:p>
    <w:p w:rsidR="0041654C" w:rsidRPr="002C3341" w:rsidRDefault="0041654C" w:rsidP="0041654C">
      <w:pPr>
        <w:pStyle w:val="Nadpis3"/>
        <w:tabs>
          <w:tab w:val="right" w:pos="8460"/>
        </w:tabs>
        <w:rPr>
          <w:rFonts w:ascii="Times New Roman" w:hAnsi="Times New Roman"/>
          <w:sz w:val="32"/>
        </w:rPr>
      </w:pPr>
      <w:bookmarkStart w:id="17" w:name="_Toc342376882"/>
      <w:r w:rsidRPr="002C3341">
        <w:rPr>
          <w:rFonts w:ascii="Times New Roman" w:hAnsi="Times New Roman"/>
          <w:sz w:val="32"/>
        </w:rPr>
        <w:t>4.1  Nedaňové príjmy</w:t>
      </w:r>
      <w:r w:rsidRPr="002C3341">
        <w:rPr>
          <w:rFonts w:ascii="Times New Roman" w:hAnsi="Times New Roman"/>
          <w:sz w:val="32"/>
        </w:rPr>
        <w:tab/>
      </w:r>
      <w:bookmarkEnd w:id="17"/>
    </w:p>
    <w:p w:rsidR="00281EC5" w:rsidRPr="006D3253" w:rsidRDefault="00D919FA" w:rsidP="00281EC5">
      <w:pPr>
        <w:pStyle w:val="Odsekzoznamu"/>
        <w:numPr>
          <w:ilvl w:val="0"/>
          <w:numId w:val="21"/>
        </w:numPr>
        <w:tabs>
          <w:tab w:val="right" w:pos="7371"/>
        </w:tabs>
        <w:rPr>
          <w:color w:val="FF0000"/>
        </w:rPr>
      </w:pPr>
      <w:r w:rsidRPr="002C3341">
        <w:t xml:space="preserve">Neplánujeme </w:t>
      </w:r>
      <w:r w:rsidR="00281EC5" w:rsidRPr="006D3253">
        <w:rPr>
          <w:color w:val="FF0000"/>
        </w:rPr>
        <w:tab/>
      </w:r>
    </w:p>
    <w:p w:rsidR="0041654C" w:rsidRPr="002C3341" w:rsidRDefault="0041654C" w:rsidP="0041654C">
      <w:pPr>
        <w:pStyle w:val="Nadpis3"/>
        <w:tabs>
          <w:tab w:val="right" w:pos="8460"/>
        </w:tabs>
        <w:rPr>
          <w:rFonts w:ascii="Times New Roman" w:hAnsi="Times New Roman"/>
          <w:sz w:val="32"/>
        </w:rPr>
      </w:pPr>
      <w:bookmarkStart w:id="18" w:name="_Toc342376883"/>
      <w:r w:rsidRPr="002C3341">
        <w:rPr>
          <w:rFonts w:ascii="Times New Roman" w:hAnsi="Times New Roman"/>
          <w:sz w:val="32"/>
        </w:rPr>
        <w:t>4.2 Granty a transfery</w:t>
      </w:r>
      <w:r w:rsidRPr="002C3341">
        <w:rPr>
          <w:rFonts w:ascii="Times New Roman" w:hAnsi="Times New Roman"/>
          <w:sz w:val="32"/>
        </w:rPr>
        <w:tab/>
      </w:r>
      <w:bookmarkEnd w:id="18"/>
    </w:p>
    <w:p w:rsidR="00140BC2" w:rsidRPr="002C3341" w:rsidRDefault="00140BC2" w:rsidP="00D919FA">
      <w:pPr>
        <w:spacing w:line="360" w:lineRule="auto"/>
        <w:ind w:firstLine="709"/>
      </w:pPr>
      <w:r w:rsidRPr="002C3341">
        <w:t xml:space="preserve">Návrh rozpočtu </w:t>
      </w:r>
      <w:r w:rsidR="0014450E" w:rsidRPr="002C3341">
        <w:t>počíta s</w:t>
      </w:r>
      <w:r w:rsidR="006B1D3A" w:rsidRPr="002C3341">
        <w:t> </w:t>
      </w:r>
      <w:r w:rsidR="0014450E" w:rsidRPr="002C3341">
        <w:t>dotáci</w:t>
      </w:r>
      <w:r w:rsidR="006B1D3A" w:rsidRPr="002C3341">
        <w:t xml:space="preserve">ami v celkovej </w:t>
      </w:r>
      <w:r w:rsidR="005A6D7D" w:rsidRPr="002C3341">
        <w:t>výške</w:t>
      </w:r>
      <w:r w:rsidR="0014450E" w:rsidRPr="002C3341">
        <w:t xml:space="preserve"> </w:t>
      </w:r>
      <w:r w:rsidR="002C3341" w:rsidRPr="002C3341">
        <w:t>6 290 427</w:t>
      </w:r>
      <w:r w:rsidR="00A0351C" w:rsidRPr="002C3341">
        <w:t xml:space="preserve"> </w:t>
      </w:r>
      <w:r w:rsidR="0014450E" w:rsidRPr="002C3341">
        <w:t>eur</w:t>
      </w:r>
      <w:r w:rsidR="006B1D3A" w:rsidRPr="002C3341">
        <w:t>.</w:t>
      </w:r>
    </w:p>
    <w:p w:rsidR="0041654C" w:rsidRPr="00A461B5" w:rsidRDefault="0041654C" w:rsidP="0041654C">
      <w:pPr>
        <w:pStyle w:val="Nadpis2"/>
        <w:tabs>
          <w:tab w:val="right" w:pos="8460"/>
        </w:tabs>
        <w:rPr>
          <w:rFonts w:ascii="Times New Roman" w:hAnsi="Times New Roman" w:cs="Times New Roman"/>
          <w:sz w:val="32"/>
          <w:szCs w:val="32"/>
          <w:u w:val="single"/>
        </w:rPr>
      </w:pPr>
      <w:bookmarkStart w:id="19" w:name="_Toc342376884"/>
      <w:r w:rsidRPr="00A461B5">
        <w:rPr>
          <w:rFonts w:ascii="Times New Roman" w:hAnsi="Times New Roman" w:cs="Times New Roman"/>
          <w:sz w:val="32"/>
          <w:szCs w:val="32"/>
          <w:u w:val="single"/>
        </w:rPr>
        <w:t>5. Kapitálové v ý d a v k y</w:t>
      </w:r>
      <w:bookmarkEnd w:id="19"/>
    </w:p>
    <w:p w:rsidR="006A37B5" w:rsidRPr="006D3253" w:rsidRDefault="002C3341" w:rsidP="001B55D8">
      <w:pPr>
        <w:spacing w:line="360" w:lineRule="auto"/>
        <w:jc w:val="both"/>
        <w:rPr>
          <w:color w:val="FF0000"/>
        </w:rPr>
      </w:pPr>
      <w:r>
        <w:rPr>
          <w:color w:val="FF0000"/>
        </w:rPr>
        <w:tab/>
      </w:r>
      <w:r w:rsidRPr="002C3341">
        <w:t>Ani v roku 2025 nie je mesto schopné investovať do svojho majetku z prebytku bežného rozpočtu. Hlavným zdrojom krytia investičných akcií tak aj naďalej zostávajú granty a transfery.</w:t>
      </w:r>
      <w:r>
        <w:t xml:space="preserve"> Na spolufinancovanie spoločných projektov EÚ a ŠR využívame výhradne návratné zdroje financovanie.</w:t>
      </w:r>
      <w:r w:rsidRPr="002C3341">
        <w:t xml:space="preserve"> </w:t>
      </w:r>
    </w:p>
    <w:p w:rsidR="0041654C" w:rsidRPr="00887324" w:rsidRDefault="0041654C" w:rsidP="0041654C">
      <w:pPr>
        <w:pStyle w:val="Nadpis2"/>
        <w:tabs>
          <w:tab w:val="right" w:pos="8460"/>
        </w:tabs>
        <w:rPr>
          <w:rFonts w:ascii="Times New Roman" w:hAnsi="Times New Roman" w:cs="Times New Roman"/>
          <w:sz w:val="32"/>
          <w:szCs w:val="32"/>
          <w:u w:val="single"/>
        </w:rPr>
      </w:pPr>
      <w:bookmarkStart w:id="20" w:name="_Toc342376885"/>
      <w:smartTag w:uri="urn:schemas-microsoft-com:office:smarttags" w:element="metricconverter">
        <w:smartTagPr>
          <w:attr w:name="ProductID" w:val="6. F"/>
        </w:smartTagPr>
        <w:r w:rsidRPr="00887324">
          <w:rPr>
            <w:rFonts w:ascii="Times New Roman" w:hAnsi="Times New Roman" w:cs="Times New Roman"/>
            <w:sz w:val="32"/>
            <w:szCs w:val="32"/>
            <w:u w:val="single"/>
          </w:rPr>
          <w:t>6. F</w:t>
        </w:r>
      </w:smartTag>
      <w:r w:rsidRPr="00887324">
        <w:rPr>
          <w:rFonts w:ascii="Times New Roman" w:hAnsi="Times New Roman" w:cs="Times New Roman"/>
          <w:sz w:val="32"/>
          <w:szCs w:val="32"/>
          <w:u w:val="single"/>
        </w:rPr>
        <w:t xml:space="preserve"> i n a n č n é   o p e r á c i</w:t>
      </w:r>
      <w:r w:rsidR="00963F60" w:rsidRPr="00887324">
        <w:rPr>
          <w:rFonts w:ascii="Times New Roman" w:hAnsi="Times New Roman" w:cs="Times New Roman"/>
          <w:sz w:val="32"/>
          <w:szCs w:val="32"/>
          <w:u w:val="single"/>
        </w:rPr>
        <w:t> </w:t>
      </w:r>
      <w:r w:rsidRPr="00887324">
        <w:rPr>
          <w:rFonts w:ascii="Times New Roman" w:hAnsi="Times New Roman" w:cs="Times New Roman"/>
          <w:sz w:val="32"/>
          <w:szCs w:val="32"/>
          <w:u w:val="single"/>
        </w:rPr>
        <w:t>e</w:t>
      </w:r>
      <w:bookmarkEnd w:id="20"/>
    </w:p>
    <w:p w:rsidR="0041654C" w:rsidRPr="00887324" w:rsidRDefault="0041654C" w:rsidP="0041654C">
      <w:pPr>
        <w:tabs>
          <w:tab w:val="right" w:pos="7740"/>
        </w:tabs>
        <w:jc w:val="both"/>
      </w:pPr>
    </w:p>
    <w:p w:rsidR="0041654C" w:rsidRPr="00887324" w:rsidRDefault="00140BC2" w:rsidP="0041654C">
      <w:pPr>
        <w:tabs>
          <w:tab w:val="right" w:pos="7740"/>
        </w:tabs>
        <w:jc w:val="both"/>
        <w:rPr>
          <w:b/>
          <w:sz w:val="28"/>
          <w:szCs w:val="28"/>
        </w:rPr>
      </w:pPr>
      <w:r w:rsidRPr="00887324">
        <w:rPr>
          <w:b/>
          <w:sz w:val="28"/>
          <w:szCs w:val="28"/>
        </w:rPr>
        <w:t>Príjmové finančné operácie</w:t>
      </w:r>
    </w:p>
    <w:p w:rsidR="0041654C" w:rsidRPr="00887324" w:rsidRDefault="00325026" w:rsidP="00BD6583">
      <w:pPr>
        <w:numPr>
          <w:ilvl w:val="0"/>
          <w:numId w:val="8"/>
        </w:numPr>
        <w:tabs>
          <w:tab w:val="right" w:pos="7740"/>
        </w:tabs>
        <w:spacing w:line="360" w:lineRule="auto"/>
        <w:jc w:val="both"/>
      </w:pPr>
      <w:r w:rsidRPr="00887324">
        <w:t>Investičný fond</w:t>
      </w:r>
      <w:r w:rsidR="0041654C" w:rsidRPr="00887324">
        <w:tab/>
      </w:r>
      <w:r w:rsidR="00887324" w:rsidRPr="00887324">
        <w:t>188 657</w:t>
      </w:r>
      <w:r w:rsidR="00BD6583" w:rsidRPr="00887324">
        <w:t xml:space="preserve"> </w:t>
      </w:r>
      <w:r w:rsidR="00140BC2" w:rsidRPr="00887324">
        <w:t>e</w:t>
      </w:r>
      <w:r w:rsidR="0041654C" w:rsidRPr="00887324">
        <w:t>ur</w:t>
      </w:r>
    </w:p>
    <w:p w:rsidR="0014450E" w:rsidRPr="00887324" w:rsidRDefault="0014450E" w:rsidP="00CD75DA">
      <w:pPr>
        <w:numPr>
          <w:ilvl w:val="0"/>
          <w:numId w:val="8"/>
        </w:numPr>
        <w:tabs>
          <w:tab w:val="right" w:pos="7740"/>
        </w:tabs>
        <w:spacing w:line="360" w:lineRule="auto"/>
        <w:ind w:left="714" w:hanging="357"/>
        <w:jc w:val="both"/>
      </w:pPr>
      <w:r w:rsidRPr="00887324">
        <w:t>Nevyčerpané dotácie</w:t>
      </w:r>
      <w:r w:rsidRPr="00887324">
        <w:tab/>
      </w:r>
      <w:r w:rsidR="00887324" w:rsidRPr="00887324">
        <w:t>327 000</w:t>
      </w:r>
      <w:r w:rsidRPr="00887324">
        <w:t xml:space="preserve"> eur</w:t>
      </w:r>
    </w:p>
    <w:p w:rsidR="0081256E" w:rsidRPr="00887324" w:rsidRDefault="007A216E" w:rsidP="007A216E">
      <w:pPr>
        <w:numPr>
          <w:ilvl w:val="0"/>
          <w:numId w:val="8"/>
        </w:numPr>
        <w:tabs>
          <w:tab w:val="right" w:pos="7740"/>
        </w:tabs>
        <w:spacing w:line="360" w:lineRule="auto"/>
        <w:jc w:val="both"/>
      </w:pPr>
      <w:r w:rsidRPr="00887324">
        <w:t xml:space="preserve">Dlhodobý úver </w:t>
      </w:r>
      <w:r w:rsidR="00325026" w:rsidRPr="00887324">
        <w:t>2022</w:t>
      </w:r>
      <w:r w:rsidR="0081256E" w:rsidRPr="00887324">
        <w:tab/>
      </w:r>
      <w:r w:rsidR="00887324" w:rsidRPr="00887324">
        <w:t>8 379</w:t>
      </w:r>
      <w:r w:rsidRPr="00887324">
        <w:t xml:space="preserve"> </w:t>
      </w:r>
      <w:r w:rsidR="0081256E" w:rsidRPr="00887324">
        <w:t>eur</w:t>
      </w:r>
    </w:p>
    <w:p w:rsidR="00325026" w:rsidRPr="00887324" w:rsidRDefault="00325026" w:rsidP="007A216E">
      <w:pPr>
        <w:numPr>
          <w:ilvl w:val="0"/>
          <w:numId w:val="8"/>
        </w:numPr>
        <w:tabs>
          <w:tab w:val="right" w:pos="7740"/>
        </w:tabs>
        <w:spacing w:line="360" w:lineRule="auto"/>
        <w:jc w:val="both"/>
      </w:pPr>
      <w:r w:rsidRPr="00887324">
        <w:t>Dlhodobý úver 202</w:t>
      </w:r>
      <w:r w:rsidR="00887324" w:rsidRPr="00887324">
        <w:t>4</w:t>
      </w:r>
      <w:r w:rsidRPr="00887324">
        <w:tab/>
      </w:r>
      <w:r w:rsidR="00887324" w:rsidRPr="00887324">
        <w:t>389 823</w:t>
      </w:r>
      <w:r w:rsidRPr="00887324">
        <w:t xml:space="preserve"> eur</w:t>
      </w:r>
    </w:p>
    <w:p w:rsidR="00887324" w:rsidRPr="00887324" w:rsidRDefault="00887324" w:rsidP="007A216E">
      <w:pPr>
        <w:numPr>
          <w:ilvl w:val="0"/>
          <w:numId w:val="8"/>
        </w:numPr>
        <w:tabs>
          <w:tab w:val="right" w:pos="7740"/>
        </w:tabs>
        <w:spacing w:line="360" w:lineRule="auto"/>
        <w:jc w:val="both"/>
      </w:pPr>
      <w:r w:rsidRPr="00887324">
        <w:t>Dlhodobý úver 2025</w:t>
      </w:r>
      <w:r w:rsidRPr="00887324">
        <w:tab/>
        <w:t>1 449 571 eur</w:t>
      </w:r>
    </w:p>
    <w:p w:rsidR="00887324" w:rsidRPr="00887324" w:rsidRDefault="00887324" w:rsidP="007A216E">
      <w:pPr>
        <w:numPr>
          <w:ilvl w:val="0"/>
          <w:numId w:val="8"/>
        </w:numPr>
        <w:tabs>
          <w:tab w:val="right" w:pos="7740"/>
        </w:tabs>
        <w:spacing w:line="360" w:lineRule="auto"/>
        <w:jc w:val="both"/>
      </w:pPr>
      <w:r w:rsidRPr="00887324">
        <w:t>Úver ŠFRB</w:t>
      </w:r>
      <w:r w:rsidRPr="00887324">
        <w:tab/>
        <w:t>1 842 528 eur</w:t>
      </w:r>
    </w:p>
    <w:p w:rsidR="007A216E" w:rsidRPr="00887324" w:rsidRDefault="007A216E" w:rsidP="00325026">
      <w:pPr>
        <w:numPr>
          <w:ilvl w:val="0"/>
          <w:numId w:val="8"/>
        </w:numPr>
        <w:tabs>
          <w:tab w:val="right" w:pos="7740"/>
        </w:tabs>
        <w:spacing w:line="360" w:lineRule="auto"/>
        <w:jc w:val="both"/>
      </w:pPr>
      <w:r w:rsidRPr="00887324">
        <w:t>Krátkodobý úver</w:t>
      </w:r>
      <w:r w:rsidRPr="00887324">
        <w:tab/>
      </w:r>
      <w:r w:rsidR="00325026" w:rsidRPr="00887324">
        <w:t>1</w:t>
      </w:r>
      <w:r w:rsidR="00887324" w:rsidRPr="00887324">
        <w:t> 764 816</w:t>
      </w:r>
      <w:r w:rsidRPr="00887324">
        <w:t xml:space="preserve"> eur</w:t>
      </w:r>
    </w:p>
    <w:p w:rsidR="00A90AB2" w:rsidRPr="00887324" w:rsidRDefault="00887324" w:rsidP="00887324">
      <w:pPr>
        <w:pStyle w:val="Odsekzoznamu"/>
        <w:tabs>
          <w:tab w:val="left" w:pos="426"/>
          <w:tab w:val="right" w:pos="7740"/>
        </w:tabs>
        <w:ind w:left="0"/>
        <w:jc w:val="both"/>
      </w:pPr>
      <w:r>
        <w:tab/>
        <w:t>Finančné prostriedky</w:t>
      </w:r>
      <w:r w:rsidRPr="00887324">
        <w:t xml:space="preserve"> investičného </w:t>
      </w:r>
      <w:r>
        <w:t xml:space="preserve">fondu vo výške 188 657 eur budú použité na splátky istín dlhodobého úveru. </w:t>
      </w:r>
      <w:r w:rsidRPr="00887324">
        <w:t xml:space="preserve"> </w:t>
      </w:r>
    </w:p>
    <w:p w:rsidR="00671200" w:rsidRDefault="00671200" w:rsidP="0057561E">
      <w:pPr>
        <w:pStyle w:val="Odsekzoznamu"/>
        <w:tabs>
          <w:tab w:val="left" w:pos="0"/>
          <w:tab w:val="right" w:pos="7740"/>
        </w:tabs>
        <w:ind w:left="0"/>
        <w:jc w:val="both"/>
        <w:rPr>
          <w:b/>
        </w:rPr>
      </w:pPr>
    </w:p>
    <w:p w:rsidR="00671200" w:rsidRDefault="00671200">
      <w:pPr>
        <w:rPr>
          <w:b/>
        </w:rPr>
      </w:pPr>
      <w:r>
        <w:rPr>
          <w:b/>
        </w:rPr>
        <w:br w:type="page"/>
      </w:r>
    </w:p>
    <w:p w:rsidR="0057561E" w:rsidRDefault="0057561E" w:rsidP="004B7A1D">
      <w:pPr>
        <w:pStyle w:val="Odsekzoznamu"/>
        <w:tabs>
          <w:tab w:val="left" w:pos="0"/>
          <w:tab w:val="right" w:pos="7740"/>
        </w:tabs>
        <w:ind w:left="0"/>
        <w:jc w:val="both"/>
        <w:rPr>
          <w:b/>
        </w:rPr>
      </w:pPr>
      <w:r w:rsidRPr="004B7A1D">
        <w:rPr>
          <w:b/>
        </w:rPr>
        <w:lastRenderedPageBreak/>
        <w:t>Použitie</w:t>
      </w:r>
      <w:r w:rsidR="00430FB6">
        <w:rPr>
          <w:b/>
        </w:rPr>
        <w:t xml:space="preserve"> nevyčerpaných</w:t>
      </w:r>
      <w:r>
        <w:rPr>
          <w:b/>
        </w:rPr>
        <w:t xml:space="preserve"> dlhodobých úverov</w:t>
      </w:r>
      <w:r w:rsidR="00671200">
        <w:rPr>
          <w:b/>
        </w:rPr>
        <w:t xml:space="preserve"> z roku 202</w:t>
      </w:r>
      <w:r w:rsidR="00703077">
        <w:rPr>
          <w:b/>
        </w:rPr>
        <w:t>4</w:t>
      </w:r>
    </w:p>
    <w:tbl>
      <w:tblPr>
        <w:tblW w:w="7088" w:type="dxa"/>
        <w:tblInd w:w="-23" w:type="dxa"/>
        <w:tblCellMar>
          <w:left w:w="70" w:type="dxa"/>
          <w:right w:w="70" w:type="dxa"/>
        </w:tblCellMar>
        <w:tblLook w:val="04A0" w:firstRow="1" w:lastRow="0" w:firstColumn="1" w:lastColumn="0" w:noHBand="0" w:noVBand="1"/>
      </w:tblPr>
      <w:tblGrid>
        <w:gridCol w:w="4962"/>
        <w:gridCol w:w="2126"/>
      </w:tblGrid>
      <w:tr w:rsidR="007C6AA2" w:rsidTr="007C6AA2">
        <w:trPr>
          <w:trHeight w:val="648"/>
        </w:trPr>
        <w:tc>
          <w:tcPr>
            <w:tcW w:w="4962" w:type="dxa"/>
            <w:tcBorders>
              <w:top w:val="double" w:sz="6" w:space="0" w:color="auto"/>
              <w:left w:val="double" w:sz="6" w:space="0" w:color="auto"/>
              <w:bottom w:val="double" w:sz="6" w:space="0" w:color="auto"/>
              <w:right w:val="single" w:sz="8" w:space="0" w:color="FFFFFF"/>
            </w:tcBorders>
            <w:shd w:val="clear" w:color="000000" w:fill="548DD4"/>
            <w:vAlign w:val="center"/>
            <w:hideMark/>
          </w:tcPr>
          <w:p w:rsidR="007C6AA2" w:rsidRDefault="007C6AA2">
            <w:pPr>
              <w:rPr>
                <w:b/>
                <w:bCs/>
                <w:color w:val="FFFFFF"/>
              </w:rPr>
            </w:pPr>
            <w:r>
              <w:rPr>
                <w:b/>
                <w:bCs/>
                <w:color w:val="FFFFFF"/>
              </w:rPr>
              <w:t>Účel</w:t>
            </w:r>
          </w:p>
        </w:tc>
        <w:tc>
          <w:tcPr>
            <w:tcW w:w="2126" w:type="dxa"/>
            <w:tcBorders>
              <w:top w:val="double" w:sz="6" w:space="0" w:color="auto"/>
              <w:left w:val="nil"/>
              <w:bottom w:val="double" w:sz="6" w:space="0" w:color="auto"/>
              <w:right w:val="double" w:sz="6" w:space="0" w:color="auto"/>
            </w:tcBorders>
            <w:shd w:val="clear" w:color="000000" w:fill="548DD4"/>
            <w:vAlign w:val="center"/>
            <w:hideMark/>
          </w:tcPr>
          <w:p w:rsidR="007C6AA2" w:rsidRDefault="007C6AA2">
            <w:pPr>
              <w:ind w:firstLineChars="200" w:firstLine="480"/>
              <w:rPr>
                <w:b/>
                <w:bCs/>
                <w:color w:val="FFFFFF"/>
              </w:rPr>
            </w:pPr>
            <w:r>
              <w:rPr>
                <w:b/>
                <w:bCs/>
                <w:color w:val="FFFFFF"/>
              </w:rPr>
              <w:t>Suma (eur)</w:t>
            </w:r>
          </w:p>
        </w:tc>
      </w:tr>
      <w:tr w:rsidR="007C6AA2" w:rsidTr="007C6AA2">
        <w:trPr>
          <w:trHeight w:val="312"/>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Rek</w:t>
            </w:r>
            <w:proofErr w:type="spellEnd"/>
            <w:r>
              <w:rPr>
                <w:rFonts w:ascii="Arial" w:hAnsi="Arial" w:cs="Arial"/>
                <w:color w:val="000000"/>
                <w:sz w:val="20"/>
                <w:szCs w:val="20"/>
              </w:rPr>
              <w:t>. Ružová ul.</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54 366</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VO a kamerový systém - </w:t>
            </w:r>
            <w:proofErr w:type="spellStart"/>
            <w:r>
              <w:rPr>
                <w:rFonts w:ascii="Arial" w:hAnsi="Arial" w:cs="Arial"/>
                <w:color w:val="000000"/>
                <w:sz w:val="20"/>
                <w:szCs w:val="20"/>
              </w:rPr>
              <w:t>sídl</w:t>
            </w:r>
            <w:proofErr w:type="spellEnd"/>
            <w:r>
              <w:rPr>
                <w:rFonts w:ascii="Arial" w:hAnsi="Arial" w:cs="Arial"/>
                <w:color w:val="000000"/>
                <w:sz w:val="20"/>
                <w:szCs w:val="20"/>
              </w:rPr>
              <w:t xml:space="preserve">. Pod </w:t>
            </w:r>
            <w:proofErr w:type="spellStart"/>
            <w:r>
              <w:rPr>
                <w:rFonts w:ascii="Arial" w:hAnsi="Arial" w:cs="Arial"/>
                <w:color w:val="000000"/>
                <w:sz w:val="20"/>
                <w:szCs w:val="20"/>
              </w:rPr>
              <w:t>Vincou</w:t>
            </w:r>
            <w:proofErr w:type="spellEnd"/>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13 000</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Dom meštiansky na NMP č.47 - obnova objektu</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215 022</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Dom meštiansky na NMP č.47 - stavebný dozor</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35 550</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Dom meštiansky na NMP č.47 - autorský dozor</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15 970</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Revitalizácia amfiteátra v Levoči </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14 294</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Výsatavba</w:t>
            </w:r>
            <w:proofErr w:type="spellEnd"/>
            <w:r>
              <w:rPr>
                <w:rFonts w:ascii="Arial" w:hAnsi="Arial" w:cs="Arial"/>
                <w:color w:val="000000"/>
                <w:sz w:val="20"/>
                <w:szCs w:val="20"/>
              </w:rPr>
              <w:t xml:space="preserve"> </w:t>
            </w:r>
            <w:proofErr w:type="spellStart"/>
            <w:r>
              <w:rPr>
                <w:rFonts w:ascii="Arial" w:hAnsi="Arial" w:cs="Arial"/>
                <w:color w:val="000000"/>
                <w:sz w:val="20"/>
                <w:szCs w:val="20"/>
              </w:rPr>
              <w:t>elektronabíjacích</w:t>
            </w:r>
            <w:proofErr w:type="spellEnd"/>
            <w:r>
              <w:rPr>
                <w:rFonts w:ascii="Arial" w:hAnsi="Arial" w:cs="Arial"/>
                <w:color w:val="000000"/>
                <w:sz w:val="20"/>
                <w:szCs w:val="20"/>
              </w:rPr>
              <w:t xml:space="preserve"> staníc</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5 000</w:t>
            </w:r>
          </w:p>
        </w:tc>
      </w:tr>
      <w:tr w:rsidR="007C6AA2" w:rsidTr="007C6AA2">
        <w:trPr>
          <w:trHeight w:val="300"/>
        </w:trPr>
        <w:tc>
          <w:tcPr>
            <w:tcW w:w="4962"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Ihrisko pre každého -  </w:t>
            </w:r>
            <w:proofErr w:type="spellStart"/>
            <w:r>
              <w:rPr>
                <w:rFonts w:ascii="Arial" w:hAnsi="Arial" w:cs="Arial"/>
                <w:color w:val="000000"/>
                <w:sz w:val="20"/>
                <w:szCs w:val="20"/>
              </w:rPr>
              <w:t>sídl</w:t>
            </w:r>
            <w:proofErr w:type="spellEnd"/>
            <w:r>
              <w:rPr>
                <w:rFonts w:ascii="Arial" w:hAnsi="Arial" w:cs="Arial"/>
                <w:color w:val="000000"/>
                <w:sz w:val="20"/>
                <w:szCs w:val="20"/>
              </w:rPr>
              <w:t>. Pod vinicou</w:t>
            </w:r>
          </w:p>
        </w:tc>
        <w:tc>
          <w:tcPr>
            <w:tcW w:w="2126"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36 621</w:t>
            </w:r>
          </w:p>
        </w:tc>
      </w:tr>
      <w:tr w:rsidR="007C6AA2" w:rsidTr="007C6AA2">
        <w:trPr>
          <w:trHeight w:val="324"/>
        </w:trPr>
        <w:tc>
          <w:tcPr>
            <w:tcW w:w="4962" w:type="dxa"/>
            <w:tcBorders>
              <w:top w:val="nil"/>
              <w:left w:val="double" w:sz="6" w:space="0" w:color="auto"/>
              <w:bottom w:val="double" w:sz="6" w:space="0" w:color="auto"/>
              <w:right w:val="single" w:sz="8" w:space="0" w:color="FFFFFF"/>
            </w:tcBorders>
            <w:shd w:val="clear" w:color="000000" w:fill="548DD4"/>
            <w:vAlign w:val="center"/>
            <w:hideMark/>
          </w:tcPr>
          <w:p w:rsidR="007C6AA2" w:rsidRDefault="007C6AA2">
            <w:pPr>
              <w:rPr>
                <w:b/>
                <w:bCs/>
                <w:color w:val="FFFFFF"/>
              </w:rPr>
            </w:pPr>
            <w:r>
              <w:rPr>
                <w:b/>
                <w:bCs/>
                <w:color w:val="FFFFFF"/>
              </w:rPr>
              <w:t>Spolu</w:t>
            </w:r>
          </w:p>
        </w:tc>
        <w:tc>
          <w:tcPr>
            <w:tcW w:w="2126" w:type="dxa"/>
            <w:tcBorders>
              <w:top w:val="nil"/>
              <w:left w:val="nil"/>
              <w:bottom w:val="double" w:sz="6" w:space="0" w:color="auto"/>
              <w:right w:val="double" w:sz="6" w:space="0" w:color="auto"/>
            </w:tcBorders>
            <w:shd w:val="clear" w:color="000000" w:fill="548DD4"/>
            <w:vAlign w:val="center"/>
            <w:hideMark/>
          </w:tcPr>
          <w:p w:rsidR="007C6AA2" w:rsidRDefault="007C6AA2">
            <w:pPr>
              <w:jc w:val="right"/>
              <w:rPr>
                <w:b/>
                <w:bCs/>
                <w:color w:val="FFFFFF"/>
              </w:rPr>
            </w:pPr>
            <w:r>
              <w:rPr>
                <w:b/>
                <w:bCs/>
                <w:color w:val="FFFFFF"/>
              </w:rPr>
              <w:t>389 823</w:t>
            </w:r>
          </w:p>
        </w:tc>
      </w:tr>
    </w:tbl>
    <w:p w:rsidR="00A90AB2" w:rsidRDefault="00A90AB2" w:rsidP="000B5087">
      <w:pPr>
        <w:pStyle w:val="Odsekzoznamu"/>
        <w:tabs>
          <w:tab w:val="right" w:pos="7740"/>
        </w:tabs>
        <w:jc w:val="both"/>
      </w:pPr>
    </w:p>
    <w:p w:rsidR="00DE6E4E" w:rsidRDefault="00DE6E4E" w:rsidP="00DE6E4E">
      <w:pPr>
        <w:pStyle w:val="Odsekzoznamu"/>
        <w:tabs>
          <w:tab w:val="left" w:pos="0"/>
          <w:tab w:val="right" w:pos="7740"/>
        </w:tabs>
        <w:ind w:left="0"/>
        <w:jc w:val="both"/>
        <w:rPr>
          <w:b/>
        </w:rPr>
      </w:pPr>
      <w:r w:rsidRPr="004B7A1D">
        <w:rPr>
          <w:b/>
        </w:rPr>
        <w:t>Použitie</w:t>
      </w:r>
      <w:r>
        <w:rPr>
          <w:b/>
        </w:rPr>
        <w:t xml:space="preserve"> dlhodobého úveru z roku 2025</w:t>
      </w:r>
    </w:p>
    <w:tbl>
      <w:tblPr>
        <w:tblW w:w="7088" w:type="dxa"/>
        <w:tblInd w:w="-23" w:type="dxa"/>
        <w:tblCellMar>
          <w:left w:w="70" w:type="dxa"/>
          <w:right w:w="70" w:type="dxa"/>
        </w:tblCellMar>
        <w:tblLook w:val="04A0" w:firstRow="1" w:lastRow="0" w:firstColumn="1" w:lastColumn="0" w:noHBand="0" w:noVBand="1"/>
      </w:tblPr>
      <w:tblGrid>
        <w:gridCol w:w="4920"/>
        <w:gridCol w:w="2168"/>
      </w:tblGrid>
      <w:tr w:rsidR="007C6AA2" w:rsidTr="007C6AA2">
        <w:trPr>
          <w:trHeight w:val="504"/>
        </w:trPr>
        <w:tc>
          <w:tcPr>
            <w:tcW w:w="4920" w:type="dxa"/>
            <w:tcBorders>
              <w:top w:val="double" w:sz="6" w:space="0" w:color="auto"/>
              <w:left w:val="double" w:sz="6" w:space="0" w:color="auto"/>
              <w:bottom w:val="double" w:sz="6" w:space="0" w:color="auto"/>
              <w:right w:val="single" w:sz="8" w:space="0" w:color="FFFFFF"/>
            </w:tcBorders>
            <w:shd w:val="clear" w:color="000000" w:fill="548DD4"/>
            <w:vAlign w:val="center"/>
            <w:hideMark/>
          </w:tcPr>
          <w:p w:rsidR="007C6AA2" w:rsidRDefault="007C6AA2">
            <w:pPr>
              <w:rPr>
                <w:b/>
                <w:bCs/>
                <w:color w:val="FFFFFF"/>
              </w:rPr>
            </w:pPr>
            <w:r>
              <w:rPr>
                <w:b/>
                <w:bCs/>
                <w:color w:val="FFFFFF"/>
              </w:rPr>
              <w:t>Účel</w:t>
            </w:r>
          </w:p>
        </w:tc>
        <w:tc>
          <w:tcPr>
            <w:tcW w:w="2168" w:type="dxa"/>
            <w:tcBorders>
              <w:top w:val="double" w:sz="6" w:space="0" w:color="auto"/>
              <w:left w:val="nil"/>
              <w:bottom w:val="double" w:sz="6" w:space="0" w:color="auto"/>
              <w:right w:val="double" w:sz="6" w:space="0" w:color="auto"/>
            </w:tcBorders>
            <w:shd w:val="clear" w:color="000000" w:fill="548DD4"/>
            <w:vAlign w:val="center"/>
            <w:hideMark/>
          </w:tcPr>
          <w:p w:rsidR="007C6AA2" w:rsidRDefault="007C6AA2">
            <w:pPr>
              <w:ind w:firstLineChars="200" w:firstLine="480"/>
              <w:rPr>
                <w:b/>
                <w:bCs/>
                <w:color w:val="FFFFFF"/>
              </w:rPr>
            </w:pPr>
            <w:r>
              <w:rPr>
                <w:b/>
                <w:bCs/>
                <w:color w:val="FFFFFF"/>
              </w:rPr>
              <w:t>Suma (eur)</w:t>
            </w:r>
          </w:p>
        </w:tc>
      </w:tr>
      <w:tr w:rsidR="007C6AA2" w:rsidTr="007C6AA2">
        <w:trPr>
          <w:trHeight w:val="312"/>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rek.a</w:t>
            </w:r>
            <w:proofErr w:type="spellEnd"/>
            <w:r>
              <w:rPr>
                <w:rFonts w:ascii="Arial" w:hAnsi="Arial" w:cs="Arial"/>
                <w:color w:val="000000"/>
                <w:sz w:val="20"/>
                <w:szCs w:val="20"/>
              </w:rPr>
              <w:t xml:space="preserve"> </w:t>
            </w:r>
            <w:proofErr w:type="spellStart"/>
            <w:r>
              <w:rPr>
                <w:rFonts w:ascii="Arial" w:hAnsi="Arial" w:cs="Arial"/>
                <w:color w:val="000000"/>
                <w:sz w:val="20"/>
                <w:szCs w:val="20"/>
              </w:rPr>
              <w:t>moder</w:t>
            </w:r>
            <w:proofErr w:type="spellEnd"/>
            <w:r>
              <w:rPr>
                <w:rFonts w:ascii="Arial" w:hAnsi="Arial" w:cs="Arial"/>
                <w:color w:val="000000"/>
                <w:sz w:val="20"/>
                <w:szCs w:val="20"/>
              </w:rPr>
              <w:t>. MK s prítomnosťou MRK</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28 211</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rek.a</w:t>
            </w:r>
            <w:proofErr w:type="spellEnd"/>
            <w:r>
              <w:rPr>
                <w:rFonts w:ascii="Arial" w:hAnsi="Arial" w:cs="Arial"/>
                <w:color w:val="000000"/>
                <w:sz w:val="20"/>
                <w:szCs w:val="20"/>
              </w:rPr>
              <w:t xml:space="preserve"> </w:t>
            </w:r>
            <w:proofErr w:type="spellStart"/>
            <w:r>
              <w:rPr>
                <w:rFonts w:ascii="Arial" w:hAnsi="Arial" w:cs="Arial"/>
                <w:color w:val="000000"/>
                <w:sz w:val="20"/>
                <w:szCs w:val="20"/>
              </w:rPr>
              <w:t>moder</w:t>
            </w:r>
            <w:proofErr w:type="spellEnd"/>
            <w:r>
              <w:rPr>
                <w:rFonts w:ascii="Arial" w:hAnsi="Arial" w:cs="Arial"/>
                <w:color w:val="000000"/>
                <w:sz w:val="20"/>
                <w:szCs w:val="20"/>
              </w:rPr>
              <w:t>. MK s prítomnosťou MRK</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8 504</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rek</w:t>
            </w:r>
            <w:proofErr w:type="spellEnd"/>
            <w:r>
              <w:rPr>
                <w:rFonts w:ascii="Arial" w:hAnsi="Arial" w:cs="Arial"/>
                <w:color w:val="000000"/>
                <w:sz w:val="20"/>
                <w:szCs w:val="20"/>
              </w:rPr>
              <w:t xml:space="preserve">. severozápadnej </w:t>
            </w:r>
            <w:proofErr w:type="spellStart"/>
            <w:r>
              <w:rPr>
                <w:rFonts w:ascii="Arial" w:hAnsi="Arial" w:cs="Arial"/>
                <w:color w:val="000000"/>
                <w:sz w:val="20"/>
                <w:szCs w:val="20"/>
              </w:rPr>
              <w:t>radiály</w:t>
            </w:r>
            <w:proofErr w:type="spellEnd"/>
            <w:r>
              <w:rPr>
                <w:rFonts w:ascii="Arial" w:hAnsi="Arial" w:cs="Arial"/>
                <w:color w:val="000000"/>
                <w:sz w:val="20"/>
                <w:szCs w:val="20"/>
              </w:rPr>
              <w:t xml:space="preserve"> - </w:t>
            </w:r>
            <w:proofErr w:type="spellStart"/>
            <w:r>
              <w:rPr>
                <w:rFonts w:ascii="Arial" w:hAnsi="Arial" w:cs="Arial"/>
                <w:color w:val="000000"/>
                <w:sz w:val="20"/>
                <w:szCs w:val="20"/>
              </w:rPr>
              <w:t>staveb</w:t>
            </w:r>
            <w:proofErr w:type="spellEnd"/>
            <w:r>
              <w:rPr>
                <w:rFonts w:ascii="Arial" w:hAnsi="Arial" w:cs="Arial"/>
                <w:color w:val="000000"/>
                <w:sz w:val="20"/>
                <w:szCs w:val="20"/>
              </w:rPr>
              <w:t xml:space="preserve">. práce </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70 700</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rek</w:t>
            </w:r>
            <w:proofErr w:type="spellEnd"/>
            <w:r>
              <w:rPr>
                <w:rFonts w:ascii="Arial" w:hAnsi="Arial" w:cs="Arial"/>
                <w:color w:val="000000"/>
                <w:sz w:val="20"/>
                <w:szCs w:val="20"/>
              </w:rPr>
              <w:t xml:space="preserve">. severozápadnej </w:t>
            </w:r>
            <w:proofErr w:type="spellStart"/>
            <w:r>
              <w:rPr>
                <w:rFonts w:ascii="Arial" w:hAnsi="Arial" w:cs="Arial"/>
                <w:color w:val="000000"/>
                <w:sz w:val="20"/>
                <w:szCs w:val="20"/>
              </w:rPr>
              <w:t>radiály</w:t>
            </w:r>
            <w:proofErr w:type="spellEnd"/>
            <w:r>
              <w:rPr>
                <w:rFonts w:ascii="Arial" w:hAnsi="Arial" w:cs="Arial"/>
                <w:color w:val="000000"/>
                <w:sz w:val="20"/>
                <w:szCs w:val="20"/>
              </w:rPr>
              <w:t xml:space="preserve"> - </w:t>
            </w:r>
            <w:proofErr w:type="spellStart"/>
            <w:r>
              <w:rPr>
                <w:rFonts w:ascii="Arial" w:hAnsi="Arial" w:cs="Arial"/>
                <w:color w:val="000000"/>
                <w:sz w:val="20"/>
                <w:szCs w:val="20"/>
              </w:rPr>
              <w:t>staveb</w:t>
            </w:r>
            <w:proofErr w:type="spellEnd"/>
            <w:r>
              <w:rPr>
                <w:rFonts w:ascii="Arial" w:hAnsi="Arial" w:cs="Arial"/>
                <w:color w:val="000000"/>
                <w:sz w:val="20"/>
                <w:szCs w:val="20"/>
              </w:rPr>
              <w:t xml:space="preserve">. dozor </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1 890</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proofErr w:type="spellStart"/>
            <w:r>
              <w:rPr>
                <w:rFonts w:ascii="Arial" w:hAnsi="Arial" w:cs="Arial"/>
                <w:color w:val="000000"/>
                <w:sz w:val="20"/>
                <w:szCs w:val="20"/>
              </w:rPr>
              <w:t>cyklochodník</w:t>
            </w:r>
            <w:proofErr w:type="spellEnd"/>
            <w:r>
              <w:rPr>
                <w:rFonts w:ascii="Arial" w:hAnsi="Arial" w:cs="Arial"/>
                <w:color w:val="000000"/>
                <w:sz w:val="20"/>
                <w:szCs w:val="20"/>
              </w:rPr>
              <w:t xml:space="preserve"> </w:t>
            </w:r>
            <w:proofErr w:type="spellStart"/>
            <w:r>
              <w:rPr>
                <w:rFonts w:ascii="Arial" w:hAnsi="Arial" w:cs="Arial"/>
                <w:color w:val="000000"/>
                <w:sz w:val="20"/>
                <w:szCs w:val="20"/>
              </w:rPr>
              <w:t>III.etapa</w:t>
            </w:r>
            <w:proofErr w:type="spellEnd"/>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59 411</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Dom meštiansky na NMP č.47 - obnova objektu</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429 051</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Revitalizácia amfiteátra v Levoči </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379 867</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Revitalizácia amfiteátra v Levoči- stavebný dozor</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30 000</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Revitalizácia amfiteátra v Levoči- autorský dozor</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22 550</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Odstránenie hav. stavu </w:t>
            </w:r>
            <w:proofErr w:type="spellStart"/>
            <w:r>
              <w:rPr>
                <w:rFonts w:ascii="Arial" w:hAnsi="Arial" w:cs="Arial"/>
                <w:color w:val="000000"/>
                <w:sz w:val="20"/>
                <w:szCs w:val="20"/>
              </w:rPr>
              <w:t>parkanového</w:t>
            </w:r>
            <w:proofErr w:type="spellEnd"/>
            <w:r>
              <w:rPr>
                <w:rFonts w:ascii="Arial" w:hAnsi="Arial" w:cs="Arial"/>
                <w:color w:val="000000"/>
                <w:sz w:val="20"/>
                <w:szCs w:val="20"/>
              </w:rPr>
              <w:t xml:space="preserve"> múru</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45 156</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Odstránenie hav. stavu </w:t>
            </w:r>
            <w:proofErr w:type="spellStart"/>
            <w:r>
              <w:rPr>
                <w:rFonts w:ascii="Arial" w:hAnsi="Arial" w:cs="Arial"/>
                <w:color w:val="000000"/>
                <w:sz w:val="20"/>
                <w:szCs w:val="20"/>
              </w:rPr>
              <w:t>parkanového</w:t>
            </w:r>
            <w:proofErr w:type="spellEnd"/>
            <w:r>
              <w:rPr>
                <w:rFonts w:ascii="Arial" w:hAnsi="Arial" w:cs="Arial"/>
                <w:color w:val="000000"/>
                <w:sz w:val="20"/>
                <w:szCs w:val="20"/>
              </w:rPr>
              <w:t xml:space="preserve"> múru</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73 069</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Výstavba bytových domov - </w:t>
            </w:r>
            <w:proofErr w:type="spellStart"/>
            <w:r>
              <w:rPr>
                <w:rFonts w:ascii="Arial" w:hAnsi="Arial" w:cs="Arial"/>
                <w:color w:val="000000"/>
                <w:sz w:val="20"/>
                <w:szCs w:val="20"/>
              </w:rPr>
              <w:t>tech</w:t>
            </w:r>
            <w:proofErr w:type="spellEnd"/>
            <w:r>
              <w:rPr>
                <w:rFonts w:ascii="Arial" w:hAnsi="Arial" w:cs="Arial"/>
                <w:color w:val="000000"/>
                <w:sz w:val="20"/>
                <w:szCs w:val="20"/>
              </w:rPr>
              <w:t>. infraštruktúra</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228 024</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Výstavba bytových domov - inžinierska činnosť</w:t>
            </w:r>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18 911</w:t>
            </w:r>
          </w:p>
        </w:tc>
      </w:tr>
      <w:tr w:rsidR="007C6AA2" w:rsidTr="007C6AA2">
        <w:trPr>
          <w:trHeight w:val="300"/>
        </w:trPr>
        <w:tc>
          <w:tcPr>
            <w:tcW w:w="4920" w:type="dxa"/>
            <w:tcBorders>
              <w:top w:val="nil"/>
              <w:left w:val="double" w:sz="6" w:space="0" w:color="auto"/>
              <w:bottom w:val="single" w:sz="8" w:space="0" w:color="auto"/>
              <w:right w:val="single" w:sz="8" w:space="0" w:color="auto"/>
            </w:tcBorders>
            <w:shd w:val="clear" w:color="auto" w:fill="auto"/>
            <w:noWrap/>
            <w:vAlign w:val="center"/>
            <w:hideMark/>
          </w:tcPr>
          <w:p w:rsidR="007C6AA2" w:rsidRDefault="007C6AA2">
            <w:pPr>
              <w:rPr>
                <w:rFonts w:ascii="Arial" w:hAnsi="Arial" w:cs="Arial"/>
                <w:color w:val="000000"/>
                <w:sz w:val="20"/>
                <w:szCs w:val="20"/>
              </w:rPr>
            </w:pPr>
            <w:r>
              <w:rPr>
                <w:rFonts w:ascii="Arial" w:hAnsi="Arial" w:cs="Arial"/>
                <w:color w:val="000000"/>
                <w:sz w:val="20"/>
                <w:szCs w:val="20"/>
              </w:rPr>
              <w:t xml:space="preserve">Rekonštrukcia multifunkčného ihriska ZŠ G. </w:t>
            </w:r>
            <w:proofErr w:type="spellStart"/>
            <w:r>
              <w:rPr>
                <w:rFonts w:ascii="Arial" w:hAnsi="Arial" w:cs="Arial"/>
                <w:color w:val="000000"/>
                <w:sz w:val="20"/>
                <w:szCs w:val="20"/>
              </w:rPr>
              <w:t>Haina</w:t>
            </w:r>
            <w:proofErr w:type="spellEnd"/>
          </w:p>
        </w:tc>
        <w:tc>
          <w:tcPr>
            <w:tcW w:w="2168" w:type="dxa"/>
            <w:tcBorders>
              <w:top w:val="nil"/>
              <w:left w:val="nil"/>
              <w:bottom w:val="single" w:sz="8" w:space="0" w:color="auto"/>
              <w:right w:val="double" w:sz="6" w:space="0" w:color="auto"/>
            </w:tcBorders>
            <w:shd w:val="clear" w:color="auto" w:fill="auto"/>
            <w:noWrap/>
            <w:vAlign w:val="center"/>
            <w:hideMark/>
          </w:tcPr>
          <w:p w:rsidR="007C6AA2" w:rsidRDefault="007C6AA2">
            <w:pPr>
              <w:jc w:val="right"/>
              <w:rPr>
                <w:rFonts w:ascii="Arial" w:hAnsi="Arial" w:cs="Arial"/>
                <w:color w:val="000000"/>
                <w:sz w:val="20"/>
                <w:szCs w:val="20"/>
              </w:rPr>
            </w:pPr>
            <w:r>
              <w:rPr>
                <w:rFonts w:ascii="Arial" w:hAnsi="Arial" w:cs="Arial"/>
                <w:color w:val="000000"/>
                <w:sz w:val="20"/>
                <w:szCs w:val="20"/>
              </w:rPr>
              <w:t>54 227</w:t>
            </w:r>
          </w:p>
        </w:tc>
      </w:tr>
      <w:tr w:rsidR="007C6AA2" w:rsidTr="007C6AA2">
        <w:trPr>
          <w:trHeight w:val="324"/>
        </w:trPr>
        <w:tc>
          <w:tcPr>
            <w:tcW w:w="4920" w:type="dxa"/>
            <w:tcBorders>
              <w:top w:val="nil"/>
              <w:left w:val="double" w:sz="6" w:space="0" w:color="auto"/>
              <w:bottom w:val="double" w:sz="6" w:space="0" w:color="auto"/>
              <w:right w:val="single" w:sz="8" w:space="0" w:color="FFFFFF"/>
            </w:tcBorders>
            <w:shd w:val="clear" w:color="000000" w:fill="548DD4"/>
            <w:vAlign w:val="center"/>
            <w:hideMark/>
          </w:tcPr>
          <w:p w:rsidR="007C6AA2" w:rsidRDefault="007C6AA2">
            <w:pPr>
              <w:rPr>
                <w:b/>
                <w:bCs/>
                <w:color w:val="FFFFFF"/>
              </w:rPr>
            </w:pPr>
            <w:r>
              <w:rPr>
                <w:b/>
                <w:bCs/>
                <w:color w:val="FFFFFF"/>
              </w:rPr>
              <w:t>Spolu</w:t>
            </w:r>
          </w:p>
        </w:tc>
        <w:tc>
          <w:tcPr>
            <w:tcW w:w="2168" w:type="dxa"/>
            <w:tcBorders>
              <w:top w:val="nil"/>
              <w:left w:val="nil"/>
              <w:bottom w:val="double" w:sz="6" w:space="0" w:color="auto"/>
              <w:right w:val="double" w:sz="6" w:space="0" w:color="auto"/>
            </w:tcBorders>
            <w:shd w:val="clear" w:color="000000" w:fill="548DD4"/>
            <w:vAlign w:val="center"/>
            <w:hideMark/>
          </w:tcPr>
          <w:p w:rsidR="007C6AA2" w:rsidRDefault="007C6AA2">
            <w:pPr>
              <w:jc w:val="right"/>
              <w:rPr>
                <w:b/>
                <w:bCs/>
                <w:color w:val="FFFFFF"/>
              </w:rPr>
            </w:pPr>
            <w:r>
              <w:rPr>
                <w:b/>
                <w:bCs/>
                <w:color w:val="FFFFFF"/>
              </w:rPr>
              <w:t>1 449 571</w:t>
            </w:r>
          </w:p>
        </w:tc>
      </w:tr>
    </w:tbl>
    <w:p w:rsidR="007C6AA2" w:rsidRDefault="007C6AA2" w:rsidP="000B5087">
      <w:pPr>
        <w:pStyle w:val="Odsekzoznamu"/>
        <w:tabs>
          <w:tab w:val="right" w:pos="7740"/>
        </w:tabs>
        <w:jc w:val="both"/>
      </w:pPr>
    </w:p>
    <w:p w:rsidR="000B5087" w:rsidRPr="008A3302" w:rsidRDefault="008A3302" w:rsidP="000B5087">
      <w:pPr>
        <w:pStyle w:val="Odsekzoznamu"/>
        <w:tabs>
          <w:tab w:val="right" w:pos="7740"/>
        </w:tabs>
        <w:jc w:val="both"/>
      </w:pPr>
      <w:r w:rsidRPr="008A3302">
        <w:t>Splatnos</w:t>
      </w:r>
      <w:r>
        <w:t xml:space="preserve">ť dlhodobých úverov plánujeme na 15 rokov. </w:t>
      </w:r>
    </w:p>
    <w:p w:rsidR="008A3302" w:rsidRDefault="008A3302" w:rsidP="00140BC2">
      <w:pPr>
        <w:tabs>
          <w:tab w:val="right" w:pos="7740"/>
        </w:tabs>
        <w:jc w:val="both"/>
        <w:rPr>
          <w:b/>
          <w:sz w:val="28"/>
          <w:szCs w:val="28"/>
        </w:rPr>
      </w:pPr>
    </w:p>
    <w:p w:rsidR="00140BC2" w:rsidRDefault="00140BC2" w:rsidP="00140BC2">
      <w:pPr>
        <w:tabs>
          <w:tab w:val="right" w:pos="7740"/>
        </w:tabs>
        <w:jc w:val="both"/>
        <w:rPr>
          <w:b/>
          <w:sz w:val="28"/>
          <w:szCs w:val="28"/>
        </w:rPr>
      </w:pPr>
      <w:r>
        <w:rPr>
          <w:b/>
          <w:sz w:val="28"/>
          <w:szCs w:val="28"/>
        </w:rPr>
        <w:t>Výdavkové</w:t>
      </w:r>
      <w:r w:rsidRPr="00140BC2">
        <w:rPr>
          <w:b/>
          <w:sz w:val="28"/>
          <w:szCs w:val="28"/>
        </w:rPr>
        <w:t xml:space="preserve"> finančné operácie</w:t>
      </w:r>
    </w:p>
    <w:p w:rsidR="00413F15" w:rsidRPr="00140BC2" w:rsidRDefault="00413F15" w:rsidP="00140BC2">
      <w:pPr>
        <w:tabs>
          <w:tab w:val="right" w:pos="7740"/>
        </w:tabs>
        <w:jc w:val="both"/>
        <w:rPr>
          <w:b/>
          <w:sz w:val="28"/>
          <w:szCs w:val="28"/>
        </w:rPr>
      </w:pPr>
    </w:p>
    <w:p w:rsidR="00140BC2" w:rsidRDefault="00140BC2" w:rsidP="00CD75DA">
      <w:pPr>
        <w:numPr>
          <w:ilvl w:val="0"/>
          <w:numId w:val="8"/>
        </w:numPr>
        <w:tabs>
          <w:tab w:val="right" w:pos="7740"/>
        </w:tabs>
        <w:spacing w:line="360" w:lineRule="auto"/>
        <w:ind w:left="714" w:hanging="357"/>
        <w:jc w:val="both"/>
      </w:pPr>
      <w:r w:rsidRPr="00140BC2">
        <w:t>Splátky dlhodobých úverov</w:t>
      </w:r>
      <w:r>
        <w:tab/>
      </w:r>
      <w:r w:rsidR="00DE6E4E">
        <w:t>403 548</w:t>
      </w:r>
      <w:r>
        <w:t xml:space="preserve"> eur</w:t>
      </w:r>
    </w:p>
    <w:p w:rsidR="00140BC2" w:rsidRDefault="00140BC2" w:rsidP="00CD75DA">
      <w:pPr>
        <w:numPr>
          <w:ilvl w:val="0"/>
          <w:numId w:val="8"/>
        </w:numPr>
        <w:tabs>
          <w:tab w:val="right" w:pos="7740"/>
        </w:tabs>
        <w:spacing w:line="360" w:lineRule="auto"/>
        <w:ind w:left="714" w:hanging="357"/>
        <w:jc w:val="both"/>
      </w:pPr>
      <w:r>
        <w:t>Splátky úverov ŠFRB</w:t>
      </w:r>
      <w:r>
        <w:tab/>
      </w:r>
      <w:r w:rsidR="00703077">
        <w:t>137 265</w:t>
      </w:r>
      <w:r>
        <w:t xml:space="preserve"> eur</w:t>
      </w:r>
    </w:p>
    <w:p w:rsidR="00703077" w:rsidRDefault="00703077">
      <w:pPr>
        <w:rPr>
          <w:b/>
          <w:sz w:val="32"/>
          <w:szCs w:val="32"/>
        </w:rPr>
      </w:pPr>
      <w:r>
        <w:rPr>
          <w:b/>
          <w:sz w:val="32"/>
          <w:szCs w:val="32"/>
        </w:rPr>
        <w:br w:type="page"/>
      </w:r>
    </w:p>
    <w:p w:rsidR="0087730D" w:rsidRDefault="0087730D">
      <w:pPr>
        <w:rPr>
          <w:b/>
          <w:sz w:val="32"/>
          <w:szCs w:val="32"/>
        </w:rPr>
      </w:pPr>
    </w:p>
    <w:p w:rsidR="0041654C" w:rsidRDefault="0041654C" w:rsidP="0041654C">
      <w:pPr>
        <w:jc w:val="center"/>
        <w:rPr>
          <w:b/>
          <w:sz w:val="32"/>
          <w:szCs w:val="32"/>
        </w:rPr>
      </w:pPr>
      <w:r w:rsidRPr="00B85C7F">
        <w:rPr>
          <w:b/>
          <w:sz w:val="32"/>
          <w:szCs w:val="32"/>
        </w:rPr>
        <w:t xml:space="preserve">Vývoj </w:t>
      </w:r>
      <w:r w:rsidR="00B4400F">
        <w:rPr>
          <w:b/>
          <w:sz w:val="32"/>
          <w:szCs w:val="32"/>
        </w:rPr>
        <w:t>sumy dlhu a sumy ročných splátok úverov</w:t>
      </w:r>
    </w:p>
    <w:tbl>
      <w:tblPr>
        <w:tblW w:w="8780" w:type="dxa"/>
        <w:tblCellMar>
          <w:left w:w="70" w:type="dxa"/>
          <w:right w:w="70" w:type="dxa"/>
        </w:tblCellMar>
        <w:tblLook w:val="04A0" w:firstRow="1" w:lastRow="0" w:firstColumn="1" w:lastColumn="0" w:noHBand="0" w:noVBand="1"/>
      </w:tblPr>
      <w:tblGrid>
        <w:gridCol w:w="2360"/>
        <w:gridCol w:w="1340"/>
        <w:gridCol w:w="1260"/>
        <w:gridCol w:w="1280"/>
        <w:gridCol w:w="1260"/>
        <w:gridCol w:w="1280"/>
      </w:tblGrid>
      <w:tr w:rsidR="00B37674" w:rsidTr="00B37674">
        <w:trPr>
          <w:trHeight w:val="336"/>
        </w:trPr>
        <w:tc>
          <w:tcPr>
            <w:tcW w:w="2360" w:type="dxa"/>
            <w:tcBorders>
              <w:top w:val="double" w:sz="6" w:space="0" w:color="auto"/>
              <w:left w:val="double" w:sz="6" w:space="0" w:color="auto"/>
              <w:bottom w:val="double" w:sz="6" w:space="0" w:color="auto"/>
              <w:right w:val="single" w:sz="12" w:space="0" w:color="FFFFFF"/>
            </w:tcBorders>
            <w:shd w:val="clear" w:color="000000" w:fill="548DD4"/>
            <w:vAlign w:val="center"/>
            <w:hideMark/>
          </w:tcPr>
          <w:p w:rsidR="00B37674" w:rsidRDefault="00B37674">
            <w:pPr>
              <w:jc w:val="both"/>
              <w:rPr>
                <w:b/>
                <w:bCs/>
                <w:color w:val="FFFFFF"/>
              </w:rPr>
            </w:pPr>
            <w:r>
              <w:rPr>
                <w:b/>
                <w:bCs/>
                <w:color w:val="FFFFFF"/>
              </w:rPr>
              <w:t> Ukazovateľ</w:t>
            </w:r>
          </w:p>
        </w:tc>
        <w:tc>
          <w:tcPr>
            <w:tcW w:w="1340" w:type="dxa"/>
            <w:tcBorders>
              <w:top w:val="double" w:sz="6" w:space="0" w:color="auto"/>
              <w:left w:val="nil"/>
              <w:bottom w:val="double" w:sz="6" w:space="0" w:color="auto"/>
              <w:right w:val="nil"/>
            </w:tcBorders>
            <w:shd w:val="clear" w:color="000000" w:fill="548DD4"/>
            <w:vAlign w:val="center"/>
            <w:hideMark/>
          </w:tcPr>
          <w:p w:rsidR="00B37674" w:rsidRDefault="00B37674">
            <w:pPr>
              <w:jc w:val="center"/>
              <w:rPr>
                <w:b/>
                <w:bCs/>
                <w:color w:val="FFFFFF"/>
              </w:rPr>
            </w:pPr>
            <w:r>
              <w:rPr>
                <w:b/>
                <w:bCs/>
                <w:color w:val="FFFFFF"/>
              </w:rPr>
              <w:t>2022</w:t>
            </w:r>
          </w:p>
        </w:tc>
        <w:tc>
          <w:tcPr>
            <w:tcW w:w="1260" w:type="dxa"/>
            <w:tcBorders>
              <w:top w:val="double" w:sz="6" w:space="0" w:color="auto"/>
              <w:left w:val="single" w:sz="8" w:space="0" w:color="auto"/>
              <w:bottom w:val="double" w:sz="6" w:space="0" w:color="auto"/>
              <w:right w:val="single" w:sz="8" w:space="0" w:color="auto"/>
            </w:tcBorders>
            <w:shd w:val="clear" w:color="000000" w:fill="548DD4"/>
            <w:vAlign w:val="center"/>
            <w:hideMark/>
          </w:tcPr>
          <w:p w:rsidR="00B37674" w:rsidRDefault="00B37674">
            <w:pPr>
              <w:jc w:val="center"/>
              <w:rPr>
                <w:b/>
                <w:bCs/>
                <w:color w:val="FFFFFF"/>
              </w:rPr>
            </w:pPr>
            <w:r>
              <w:rPr>
                <w:b/>
                <w:bCs/>
                <w:color w:val="FFFFFF"/>
              </w:rPr>
              <w:t>2023</w:t>
            </w:r>
          </w:p>
        </w:tc>
        <w:tc>
          <w:tcPr>
            <w:tcW w:w="1280" w:type="dxa"/>
            <w:tcBorders>
              <w:top w:val="double" w:sz="6" w:space="0" w:color="auto"/>
              <w:left w:val="nil"/>
              <w:bottom w:val="double" w:sz="6" w:space="0" w:color="auto"/>
              <w:right w:val="single" w:sz="8" w:space="0" w:color="auto"/>
            </w:tcBorders>
            <w:shd w:val="clear" w:color="000000" w:fill="548DD4"/>
            <w:vAlign w:val="center"/>
            <w:hideMark/>
          </w:tcPr>
          <w:p w:rsidR="00B37674" w:rsidRDefault="00B37674">
            <w:pPr>
              <w:jc w:val="center"/>
              <w:rPr>
                <w:b/>
                <w:bCs/>
                <w:color w:val="FFFFFF"/>
              </w:rPr>
            </w:pPr>
            <w:r>
              <w:rPr>
                <w:b/>
                <w:bCs/>
                <w:color w:val="FFFFFF"/>
              </w:rPr>
              <w:t>2024*</w:t>
            </w:r>
          </w:p>
        </w:tc>
        <w:tc>
          <w:tcPr>
            <w:tcW w:w="1260" w:type="dxa"/>
            <w:tcBorders>
              <w:top w:val="double" w:sz="6" w:space="0" w:color="auto"/>
              <w:left w:val="nil"/>
              <w:bottom w:val="double" w:sz="6" w:space="0" w:color="auto"/>
              <w:right w:val="single" w:sz="8" w:space="0" w:color="auto"/>
            </w:tcBorders>
            <w:shd w:val="clear" w:color="000000" w:fill="548DD4"/>
            <w:vAlign w:val="center"/>
            <w:hideMark/>
          </w:tcPr>
          <w:p w:rsidR="00B37674" w:rsidRDefault="00B37674">
            <w:pPr>
              <w:jc w:val="center"/>
              <w:rPr>
                <w:b/>
                <w:bCs/>
                <w:color w:val="FFFFFF"/>
              </w:rPr>
            </w:pPr>
            <w:r>
              <w:rPr>
                <w:b/>
                <w:bCs/>
                <w:color w:val="FFFFFF"/>
              </w:rPr>
              <w:t>2025*</w:t>
            </w:r>
          </w:p>
        </w:tc>
        <w:tc>
          <w:tcPr>
            <w:tcW w:w="1280" w:type="dxa"/>
            <w:tcBorders>
              <w:top w:val="double" w:sz="6" w:space="0" w:color="auto"/>
              <w:left w:val="nil"/>
              <w:bottom w:val="double" w:sz="6" w:space="0" w:color="auto"/>
              <w:right w:val="double" w:sz="6" w:space="0" w:color="auto"/>
            </w:tcBorders>
            <w:shd w:val="clear" w:color="000000" w:fill="548DD4"/>
            <w:vAlign w:val="center"/>
            <w:hideMark/>
          </w:tcPr>
          <w:p w:rsidR="00B37674" w:rsidRDefault="00B37674">
            <w:pPr>
              <w:jc w:val="center"/>
              <w:rPr>
                <w:b/>
                <w:bCs/>
                <w:color w:val="FFFFFF"/>
              </w:rPr>
            </w:pPr>
            <w:r>
              <w:rPr>
                <w:b/>
                <w:bCs/>
                <w:color w:val="FFFFFF"/>
              </w:rPr>
              <w:t>2026*</w:t>
            </w:r>
          </w:p>
        </w:tc>
      </w:tr>
      <w:tr w:rsidR="00B37674" w:rsidTr="00B37674">
        <w:trPr>
          <w:trHeight w:val="510"/>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color w:val="000000"/>
              </w:rPr>
            </w:pPr>
            <w:r>
              <w:rPr>
                <w:color w:val="000000"/>
              </w:rPr>
              <w:t>Bežné príjmy</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color w:val="000000"/>
              </w:rPr>
            </w:pPr>
            <w:r>
              <w:rPr>
                <w:color w:val="000000"/>
              </w:rPr>
              <w:t>15 098 744</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17 534 991</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15 833 017</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15 576 334</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color w:val="000000"/>
              </w:rPr>
            </w:pPr>
            <w:r>
              <w:rPr>
                <w:color w:val="000000"/>
              </w:rPr>
              <w:t>16075670</w:t>
            </w:r>
          </w:p>
        </w:tc>
      </w:tr>
      <w:tr w:rsidR="00B37674" w:rsidTr="00B37674">
        <w:trPr>
          <w:trHeight w:val="510"/>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color w:val="000000"/>
              </w:rPr>
            </w:pPr>
            <w:r>
              <w:rPr>
                <w:color w:val="000000"/>
              </w:rPr>
              <w:t>Vlastné príjmy</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color w:val="000000"/>
              </w:rPr>
            </w:pPr>
            <w:r>
              <w:rPr>
                <w:color w:val="000000"/>
              </w:rPr>
              <w:t>10 720 945</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11 377 337</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11 273 860</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9 806 538</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color w:val="000000"/>
              </w:rPr>
            </w:pPr>
            <w:r>
              <w:rPr>
                <w:color w:val="000000"/>
              </w:rPr>
              <w:t>10 353 904</w:t>
            </w:r>
          </w:p>
        </w:tc>
      </w:tr>
      <w:tr w:rsidR="00B37674" w:rsidTr="00B37674">
        <w:trPr>
          <w:trHeight w:val="510"/>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color w:val="000000"/>
              </w:rPr>
            </w:pPr>
            <w:r>
              <w:rPr>
                <w:color w:val="000000"/>
              </w:rPr>
              <w:t>Výška úverov</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color w:val="000000"/>
              </w:rPr>
            </w:pPr>
            <w:r>
              <w:rPr>
                <w:color w:val="000000"/>
              </w:rPr>
              <w:t>3 608 284</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3 671 461</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3 868 720</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5 304 566</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color w:val="000000"/>
              </w:rPr>
            </w:pPr>
            <w:r>
              <w:rPr>
                <w:color w:val="000000"/>
              </w:rPr>
              <w:t>4 809 218</w:t>
            </w:r>
          </w:p>
        </w:tc>
      </w:tr>
      <w:tr w:rsidR="00B37674" w:rsidTr="00B37674">
        <w:trPr>
          <w:trHeight w:val="510"/>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color w:val="000000"/>
              </w:rPr>
            </w:pPr>
            <w:r>
              <w:rPr>
                <w:color w:val="000000"/>
              </w:rPr>
              <w:t>Splátky úroku</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color w:val="000000"/>
              </w:rPr>
            </w:pPr>
            <w:r>
              <w:rPr>
                <w:color w:val="000000"/>
              </w:rPr>
              <w:t>55 711</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177 510</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290 000</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290 000</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color w:val="000000"/>
              </w:rPr>
            </w:pPr>
            <w:r>
              <w:rPr>
                <w:color w:val="000000"/>
              </w:rPr>
              <w:t>290 000</w:t>
            </w:r>
          </w:p>
        </w:tc>
      </w:tr>
      <w:tr w:rsidR="00B37674" w:rsidTr="00B37674">
        <w:trPr>
          <w:trHeight w:val="510"/>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color w:val="000000"/>
              </w:rPr>
            </w:pPr>
            <w:r>
              <w:rPr>
                <w:color w:val="000000"/>
              </w:rPr>
              <w:t>Splátky úveru</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color w:val="000000"/>
              </w:rPr>
            </w:pPr>
            <w:r>
              <w:rPr>
                <w:color w:val="000000"/>
              </w:rPr>
              <w:t>2 860 030</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894 796</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540 814</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color w:val="000000"/>
              </w:rPr>
            </w:pPr>
            <w:r>
              <w:rPr>
                <w:color w:val="000000"/>
              </w:rPr>
              <w:t>632 614</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color w:val="000000"/>
              </w:rPr>
            </w:pPr>
            <w:r>
              <w:rPr>
                <w:color w:val="000000"/>
              </w:rPr>
              <w:t>708 677</w:t>
            </w:r>
          </w:p>
        </w:tc>
      </w:tr>
      <w:tr w:rsidR="00B37674" w:rsidTr="00B37674">
        <w:trPr>
          <w:trHeight w:val="615"/>
        </w:trPr>
        <w:tc>
          <w:tcPr>
            <w:tcW w:w="2360" w:type="dxa"/>
            <w:tcBorders>
              <w:top w:val="nil"/>
              <w:left w:val="double" w:sz="6" w:space="0" w:color="auto"/>
              <w:bottom w:val="dotted" w:sz="4" w:space="0" w:color="auto"/>
              <w:right w:val="single" w:sz="12" w:space="0" w:color="auto"/>
            </w:tcBorders>
            <w:shd w:val="clear" w:color="auto" w:fill="auto"/>
            <w:vAlign w:val="center"/>
            <w:hideMark/>
          </w:tcPr>
          <w:p w:rsidR="00B37674" w:rsidRDefault="00B37674">
            <w:pPr>
              <w:rPr>
                <w:b/>
                <w:bCs/>
                <w:color w:val="000000"/>
              </w:rPr>
            </w:pPr>
            <w:r>
              <w:rPr>
                <w:b/>
                <w:bCs/>
                <w:color w:val="000000"/>
              </w:rPr>
              <w:t>Celková suma dlhu (%)</w:t>
            </w:r>
          </w:p>
        </w:tc>
        <w:tc>
          <w:tcPr>
            <w:tcW w:w="1340" w:type="dxa"/>
            <w:tcBorders>
              <w:top w:val="nil"/>
              <w:left w:val="nil"/>
              <w:bottom w:val="dotted" w:sz="4" w:space="0" w:color="auto"/>
              <w:right w:val="nil"/>
            </w:tcBorders>
            <w:shd w:val="clear" w:color="auto" w:fill="auto"/>
            <w:vAlign w:val="center"/>
            <w:hideMark/>
          </w:tcPr>
          <w:p w:rsidR="00B37674" w:rsidRDefault="00B37674">
            <w:pPr>
              <w:jc w:val="center"/>
              <w:rPr>
                <w:b/>
                <w:bCs/>
                <w:color w:val="000000"/>
              </w:rPr>
            </w:pPr>
            <w:r>
              <w:rPr>
                <w:b/>
                <w:bCs/>
                <w:color w:val="000000"/>
              </w:rPr>
              <w:t>25,38</w:t>
            </w:r>
          </w:p>
        </w:tc>
        <w:tc>
          <w:tcPr>
            <w:tcW w:w="1260" w:type="dxa"/>
            <w:tcBorders>
              <w:top w:val="nil"/>
              <w:left w:val="single" w:sz="8" w:space="0" w:color="auto"/>
              <w:bottom w:val="dotted" w:sz="4"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24,32</w:t>
            </w:r>
          </w:p>
        </w:tc>
        <w:tc>
          <w:tcPr>
            <w:tcW w:w="128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22,06</w:t>
            </w:r>
          </w:p>
        </w:tc>
        <w:tc>
          <w:tcPr>
            <w:tcW w:w="1260" w:type="dxa"/>
            <w:tcBorders>
              <w:top w:val="nil"/>
              <w:left w:val="nil"/>
              <w:bottom w:val="dotted" w:sz="4"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33,50</w:t>
            </w:r>
          </w:p>
        </w:tc>
        <w:tc>
          <w:tcPr>
            <w:tcW w:w="1280" w:type="dxa"/>
            <w:tcBorders>
              <w:top w:val="nil"/>
              <w:left w:val="nil"/>
              <w:bottom w:val="dotted" w:sz="4" w:space="0" w:color="auto"/>
              <w:right w:val="double" w:sz="6" w:space="0" w:color="auto"/>
            </w:tcBorders>
            <w:shd w:val="clear" w:color="auto" w:fill="auto"/>
            <w:vAlign w:val="center"/>
            <w:hideMark/>
          </w:tcPr>
          <w:p w:rsidR="00B37674" w:rsidRDefault="00B37674">
            <w:pPr>
              <w:jc w:val="center"/>
              <w:rPr>
                <w:b/>
                <w:bCs/>
                <w:color w:val="000000"/>
              </w:rPr>
            </w:pPr>
            <w:r>
              <w:rPr>
                <w:b/>
                <w:bCs/>
                <w:color w:val="000000"/>
              </w:rPr>
              <w:t>30,88</w:t>
            </w:r>
          </w:p>
        </w:tc>
      </w:tr>
      <w:tr w:rsidR="00B37674" w:rsidTr="00B37674">
        <w:trPr>
          <w:trHeight w:val="636"/>
        </w:trPr>
        <w:tc>
          <w:tcPr>
            <w:tcW w:w="2360" w:type="dxa"/>
            <w:tcBorders>
              <w:top w:val="nil"/>
              <w:left w:val="double" w:sz="6" w:space="0" w:color="auto"/>
              <w:bottom w:val="double" w:sz="6" w:space="0" w:color="auto"/>
              <w:right w:val="single" w:sz="12" w:space="0" w:color="auto"/>
            </w:tcBorders>
            <w:shd w:val="clear" w:color="auto" w:fill="auto"/>
            <w:vAlign w:val="center"/>
            <w:hideMark/>
          </w:tcPr>
          <w:p w:rsidR="00B37674" w:rsidRDefault="00B37674">
            <w:pPr>
              <w:rPr>
                <w:b/>
                <w:bCs/>
                <w:color w:val="000000"/>
              </w:rPr>
            </w:pPr>
            <w:r>
              <w:rPr>
                <w:b/>
                <w:bCs/>
                <w:color w:val="000000"/>
              </w:rPr>
              <w:t>Suma ročných splátok (%)</w:t>
            </w:r>
          </w:p>
        </w:tc>
        <w:tc>
          <w:tcPr>
            <w:tcW w:w="1340" w:type="dxa"/>
            <w:tcBorders>
              <w:top w:val="nil"/>
              <w:left w:val="nil"/>
              <w:bottom w:val="double" w:sz="6" w:space="0" w:color="auto"/>
              <w:right w:val="nil"/>
            </w:tcBorders>
            <w:shd w:val="clear" w:color="auto" w:fill="auto"/>
            <w:vAlign w:val="center"/>
            <w:hideMark/>
          </w:tcPr>
          <w:p w:rsidR="00B37674" w:rsidRDefault="00B37674">
            <w:pPr>
              <w:jc w:val="center"/>
              <w:rPr>
                <w:b/>
                <w:bCs/>
                <w:color w:val="000000"/>
              </w:rPr>
            </w:pPr>
            <w:r>
              <w:rPr>
                <w:b/>
                <w:bCs/>
                <w:color w:val="000000"/>
              </w:rPr>
              <w:t>20,51</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10,00</w:t>
            </w:r>
          </w:p>
        </w:tc>
        <w:tc>
          <w:tcPr>
            <w:tcW w:w="1280" w:type="dxa"/>
            <w:tcBorders>
              <w:top w:val="nil"/>
              <w:left w:val="nil"/>
              <w:bottom w:val="double" w:sz="6"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7,30</w:t>
            </w:r>
          </w:p>
        </w:tc>
        <w:tc>
          <w:tcPr>
            <w:tcW w:w="1260" w:type="dxa"/>
            <w:tcBorders>
              <w:top w:val="nil"/>
              <w:left w:val="nil"/>
              <w:bottom w:val="double" w:sz="6" w:space="0" w:color="auto"/>
              <w:right w:val="single" w:sz="8" w:space="0" w:color="auto"/>
            </w:tcBorders>
            <w:shd w:val="clear" w:color="auto" w:fill="auto"/>
            <w:vAlign w:val="center"/>
            <w:hideMark/>
          </w:tcPr>
          <w:p w:rsidR="00B37674" w:rsidRDefault="00B37674">
            <w:pPr>
              <w:jc w:val="center"/>
              <w:rPr>
                <w:b/>
                <w:bCs/>
                <w:color w:val="000000"/>
              </w:rPr>
            </w:pPr>
            <w:r>
              <w:rPr>
                <w:b/>
                <w:bCs/>
                <w:color w:val="000000"/>
              </w:rPr>
              <w:t>8,18</w:t>
            </w:r>
          </w:p>
        </w:tc>
        <w:tc>
          <w:tcPr>
            <w:tcW w:w="1280" w:type="dxa"/>
            <w:tcBorders>
              <w:top w:val="nil"/>
              <w:left w:val="nil"/>
              <w:bottom w:val="double" w:sz="6" w:space="0" w:color="auto"/>
              <w:right w:val="double" w:sz="6" w:space="0" w:color="auto"/>
            </w:tcBorders>
            <w:shd w:val="clear" w:color="auto" w:fill="auto"/>
            <w:vAlign w:val="center"/>
            <w:hideMark/>
          </w:tcPr>
          <w:p w:rsidR="00B37674" w:rsidRDefault="00B37674">
            <w:pPr>
              <w:jc w:val="center"/>
              <w:rPr>
                <w:b/>
                <w:bCs/>
                <w:color w:val="000000"/>
              </w:rPr>
            </w:pPr>
            <w:r>
              <w:rPr>
                <w:b/>
                <w:bCs/>
                <w:color w:val="000000"/>
              </w:rPr>
              <w:t>10,18</w:t>
            </w:r>
          </w:p>
        </w:tc>
      </w:tr>
    </w:tbl>
    <w:p w:rsidR="00B37674" w:rsidRDefault="00B37674" w:rsidP="00204CE6">
      <w:pPr>
        <w:rPr>
          <w:sz w:val="20"/>
          <w:szCs w:val="20"/>
        </w:rPr>
      </w:pPr>
    </w:p>
    <w:p w:rsidR="00204CE6" w:rsidRPr="007D1D22" w:rsidRDefault="00204CE6" w:rsidP="00204CE6">
      <w:pPr>
        <w:rPr>
          <w:sz w:val="20"/>
          <w:szCs w:val="20"/>
        </w:rPr>
      </w:pPr>
      <w:r w:rsidRPr="007D1D22">
        <w:rPr>
          <w:sz w:val="20"/>
          <w:szCs w:val="20"/>
        </w:rPr>
        <w:t>* predpoklad</w:t>
      </w:r>
    </w:p>
    <w:p w:rsidR="00B6381A" w:rsidRDefault="00B6381A" w:rsidP="00204CE6"/>
    <w:p w:rsidR="001C6A88" w:rsidRDefault="00E35950" w:rsidP="00834447">
      <w:r>
        <w:rPr>
          <w:noProof/>
          <w:color w:val="FF0000"/>
        </w:rPr>
        <w:drawing>
          <wp:inline distT="0" distB="0" distL="0" distR="0" wp14:anchorId="78D74244" wp14:editId="75163325">
            <wp:extent cx="5734050" cy="3800475"/>
            <wp:effectExtent l="0" t="0" r="0" b="0"/>
            <wp:docPr id="13" name="Obj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6A34" w:rsidRDefault="001C6A88" w:rsidP="00233AC8">
      <w:r>
        <w:br w:type="page"/>
      </w:r>
    </w:p>
    <w:p w:rsidR="00916FF1" w:rsidRDefault="003F09D6" w:rsidP="00834447">
      <w:r w:rsidRPr="003F09D6">
        <w:rPr>
          <w:b/>
          <w:sz w:val="28"/>
          <w:szCs w:val="28"/>
        </w:rPr>
        <w:lastRenderedPageBreak/>
        <w:t>Záver</w:t>
      </w:r>
    </w:p>
    <w:p w:rsidR="00A91D75" w:rsidRDefault="00531CAE" w:rsidP="0088394C">
      <w:pPr>
        <w:spacing w:line="360" w:lineRule="auto"/>
        <w:jc w:val="both"/>
        <w:rPr>
          <w:color w:val="FF0000"/>
        </w:rPr>
      </w:pPr>
      <w:r>
        <w:tab/>
      </w:r>
    </w:p>
    <w:p w:rsidR="00BE658F" w:rsidRPr="00C95FB5" w:rsidRDefault="00C62F8C" w:rsidP="00BE658F">
      <w:pPr>
        <w:spacing w:line="360" w:lineRule="auto"/>
        <w:ind w:firstLine="709"/>
        <w:jc w:val="both"/>
      </w:pPr>
      <w:r w:rsidRPr="00C95FB5">
        <w:t>Rozpočet mesta</w:t>
      </w:r>
      <w:r w:rsidR="00973529" w:rsidRPr="00C95FB5">
        <w:t xml:space="preserve"> na rok 20</w:t>
      </w:r>
      <w:r w:rsidR="00904CEB" w:rsidRPr="00C95FB5">
        <w:t>2</w:t>
      </w:r>
      <w:r w:rsidR="009734A8" w:rsidRPr="00C95FB5">
        <w:t>5</w:t>
      </w:r>
      <w:r w:rsidR="004849E3" w:rsidRPr="00C95FB5">
        <w:t xml:space="preserve"> je, po započítaní finančných operácii, zostavený ako vyrovnaný</w:t>
      </w:r>
      <w:r w:rsidRPr="00C95FB5">
        <w:t>.</w:t>
      </w:r>
      <w:r w:rsidR="00F246A1" w:rsidRPr="00C95FB5">
        <w:t xml:space="preserve"> </w:t>
      </w:r>
      <w:r w:rsidR="004849E3" w:rsidRPr="00C95FB5">
        <w:t>Rozpočet</w:t>
      </w:r>
      <w:r w:rsidR="00F833B8" w:rsidRPr="00C95FB5">
        <w:t xml:space="preserve"> nevytvára </w:t>
      </w:r>
      <w:r w:rsidR="004849E3" w:rsidRPr="00C95FB5">
        <w:t>dostatočný prebytok bežného rozpočtu na to, aby sme splácali istiny úverov v plnej výške</w:t>
      </w:r>
      <w:r w:rsidR="00F833B8" w:rsidRPr="00C95FB5">
        <w:t>.</w:t>
      </w:r>
      <w:r w:rsidR="004849E3" w:rsidRPr="00C95FB5">
        <w:t xml:space="preserve"> Z tohto dôvodu plánujeme použiť na splátky aj </w:t>
      </w:r>
      <w:r w:rsidR="00C95FB5" w:rsidRPr="00C95FB5">
        <w:t>finančné prostriedky z investičného fondu</w:t>
      </w:r>
      <w:r w:rsidR="004849E3" w:rsidRPr="00C95FB5">
        <w:t>.</w:t>
      </w:r>
    </w:p>
    <w:p w:rsidR="008559F3" w:rsidRDefault="00C62F8C" w:rsidP="008B09C0">
      <w:pPr>
        <w:spacing w:line="360" w:lineRule="auto"/>
        <w:ind w:firstLine="709"/>
        <w:jc w:val="both"/>
      </w:pPr>
      <w:r w:rsidRPr="00C95FB5">
        <w:t xml:space="preserve"> Plánované kapitálové výdavky s</w:t>
      </w:r>
      <w:r w:rsidR="00BE658F" w:rsidRPr="00C95FB5">
        <w:t>ú realizované hlavne z grantov,</w:t>
      </w:r>
      <w:r w:rsidRPr="00C95FB5">
        <w:t> finančných operácií</w:t>
      </w:r>
      <w:r w:rsidR="00F833B8" w:rsidRPr="00C95FB5">
        <w:t xml:space="preserve"> a nevyčerpaných dotácií </w:t>
      </w:r>
      <w:r w:rsidR="00BE658F" w:rsidRPr="00C95FB5">
        <w:t>z predchádzajúcich rokov</w:t>
      </w:r>
      <w:r w:rsidR="00703077" w:rsidRPr="00C95FB5">
        <w:t>.</w:t>
      </w:r>
      <w:r w:rsidR="008559F3">
        <w:t xml:space="preserve"> Spolufinancovanie spoločných projektov EÚ a ŠR je zabezpečené výhradne z návratných zdrojov financovania. Dôvodom takéhoto spôsobu spolufinancovania je fakt, že mesto vytvára nedostatočný prebytok bežného rozpočtu a má aj nedostatok finančných prostriedkov na fondových účtoch. Zvýšené splátky istín úverov však vyvolajú aj zvýšený tlak na vytváranie vyššieho prebytku rozpočtu, aby bolo možné tieto splátky aj reálne uhrádzať. Do roku 2027 sa prebytok bežného rozpočtu musí zvýšiť až o 300 tis. eur. Je preto veľmi dôležité, aby sa udržali bežné výdavky na čo najnižšej úrovni aj</w:t>
      </w:r>
      <w:r w:rsidR="005A4727">
        <w:t xml:space="preserve"> v</w:t>
      </w:r>
      <w:r w:rsidR="008559F3">
        <w:t xml:space="preserve"> budúcich rokoch.      </w:t>
      </w:r>
      <w:r w:rsidR="00703077" w:rsidRPr="00C95FB5">
        <w:t xml:space="preserve"> </w:t>
      </w:r>
    </w:p>
    <w:p w:rsidR="00C62F8C" w:rsidRPr="00C95FB5" w:rsidRDefault="00F50CDC" w:rsidP="008B09C0">
      <w:pPr>
        <w:spacing w:line="360" w:lineRule="auto"/>
        <w:ind w:firstLine="709"/>
        <w:jc w:val="both"/>
      </w:pPr>
      <w:r w:rsidRPr="00C95FB5">
        <w:t xml:space="preserve">Hospodárenie mesta zaťažuje </w:t>
      </w:r>
      <w:r w:rsidR="00A312F6" w:rsidRPr="00C95FB5">
        <w:t xml:space="preserve">predovšetkým </w:t>
      </w:r>
      <w:r w:rsidRPr="00C95FB5">
        <w:t>výška bežných výdavkov</w:t>
      </w:r>
      <w:r w:rsidR="00A312F6" w:rsidRPr="00C95FB5">
        <w:t>, ktorá nezodpovedá príjmovým možnostiam mesta</w:t>
      </w:r>
      <w:r w:rsidRPr="00C95FB5">
        <w:t>. Je</w:t>
      </w:r>
      <w:r w:rsidR="00A312F6" w:rsidRPr="00C95FB5">
        <w:t xml:space="preserve"> teda</w:t>
      </w:r>
      <w:r w:rsidRPr="00C95FB5">
        <w:t xml:space="preserve"> nutné racionalizovať </w:t>
      </w:r>
      <w:r w:rsidR="00A312F6" w:rsidRPr="00C95FB5">
        <w:t>bežné výdavky mesta</w:t>
      </w:r>
      <w:r w:rsidR="00A5041B" w:rsidRPr="00C95FB5">
        <w:t>.</w:t>
      </w:r>
      <w:bookmarkStart w:id="21" w:name="_GoBack"/>
      <w:bookmarkEnd w:id="21"/>
    </w:p>
    <w:p w:rsidR="0059705C" w:rsidRPr="0059705C" w:rsidRDefault="0059705C" w:rsidP="0059705C">
      <w:pPr>
        <w:spacing w:line="360" w:lineRule="auto"/>
        <w:ind w:firstLine="709"/>
        <w:jc w:val="both"/>
      </w:pPr>
    </w:p>
    <w:p w:rsidR="0041654C" w:rsidRPr="0059705C" w:rsidRDefault="0041654C" w:rsidP="0041654C"/>
    <w:p w:rsidR="00846C1E" w:rsidRDefault="00846C1E" w:rsidP="00846C1E"/>
    <w:p w:rsidR="00846C1E" w:rsidRDefault="00846C1E" w:rsidP="00846C1E"/>
    <w:p w:rsidR="00846C1E" w:rsidRPr="00846C1E" w:rsidRDefault="00846C1E" w:rsidP="00846C1E"/>
    <w:sectPr w:rsidR="00846C1E" w:rsidRPr="00846C1E" w:rsidSect="004A54F7">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9C" w:rsidRDefault="00C2339C">
      <w:r>
        <w:separator/>
      </w:r>
    </w:p>
  </w:endnote>
  <w:endnote w:type="continuationSeparator" w:id="0">
    <w:p w:rsidR="00C2339C" w:rsidRDefault="00C2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AF" w:rsidRDefault="00F178A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178AF" w:rsidRDefault="00F178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AF" w:rsidRDefault="00F178A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A4727">
      <w:rPr>
        <w:rStyle w:val="slostrany"/>
        <w:noProof/>
      </w:rPr>
      <w:t>10</w:t>
    </w:r>
    <w:r>
      <w:rPr>
        <w:rStyle w:val="slostrany"/>
      </w:rPr>
      <w:fldChar w:fldCharType="end"/>
    </w:r>
  </w:p>
  <w:p w:rsidR="00F178AF" w:rsidRDefault="00F178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9C" w:rsidRDefault="00C2339C">
      <w:r>
        <w:separator/>
      </w:r>
    </w:p>
  </w:footnote>
  <w:footnote w:type="continuationSeparator" w:id="0">
    <w:p w:rsidR="00C2339C" w:rsidRDefault="00C2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D6A"/>
    <w:multiLevelType w:val="hybridMultilevel"/>
    <w:tmpl w:val="83BAFC7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E025B"/>
    <w:multiLevelType w:val="multilevel"/>
    <w:tmpl w:val="C67ABC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8258D6"/>
    <w:multiLevelType w:val="multilevel"/>
    <w:tmpl w:val="A2EA5F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07F99"/>
    <w:multiLevelType w:val="multilevel"/>
    <w:tmpl w:val="C6065BC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FF322D"/>
    <w:multiLevelType w:val="multilevel"/>
    <w:tmpl w:val="6856142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4254B3"/>
    <w:multiLevelType w:val="hybridMultilevel"/>
    <w:tmpl w:val="6108D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0471CD"/>
    <w:multiLevelType w:val="hybridMultilevel"/>
    <w:tmpl w:val="2DD46386"/>
    <w:lvl w:ilvl="0" w:tplc="041B0001">
      <w:start w:val="1"/>
      <w:numFmt w:val="bullet"/>
      <w:lvlText w:val=""/>
      <w:lvlJc w:val="left"/>
      <w:pPr>
        <w:tabs>
          <w:tab w:val="num" w:pos="1500"/>
        </w:tabs>
        <w:ind w:left="1500" w:hanging="360"/>
      </w:pPr>
      <w:rPr>
        <w:rFonts w:ascii="Symbol" w:hAnsi="Symbol" w:hint="default"/>
      </w:rPr>
    </w:lvl>
    <w:lvl w:ilvl="1" w:tplc="041B0003" w:tentative="1">
      <w:start w:val="1"/>
      <w:numFmt w:val="bullet"/>
      <w:lvlText w:val="o"/>
      <w:lvlJc w:val="left"/>
      <w:pPr>
        <w:tabs>
          <w:tab w:val="num" w:pos="2220"/>
        </w:tabs>
        <w:ind w:left="2220" w:hanging="360"/>
      </w:pPr>
      <w:rPr>
        <w:rFonts w:ascii="Courier New" w:hAnsi="Courier New" w:cs="Courier New" w:hint="default"/>
      </w:rPr>
    </w:lvl>
    <w:lvl w:ilvl="2" w:tplc="041B0005" w:tentative="1">
      <w:start w:val="1"/>
      <w:numFmt w:val="bullet"/>
      <w:lvlText w:val=""/>
      <w:lvlJc w:val="left"/>
      <w:pPr>
        <w:tabs>
          <w:tab w:val="num" w:pos="2940"/>
        </w:tabs>
        <w:ind w:left="2940" w:hanging="360"/>
      </w:pPr>
      <w:rPr>
        <w:rFonts w:ascii="Wingdings" w:hAnsi="Wingdings" w:hint="default"/>
      </w:rPr>
    </w:lvl>
    <w:lvl w:ilvl="3" w:tplc="041B0001" w:tentative="1">
      <w:start w:val="1"/>
      <w:numFmt w:val="bullet"/>
      <w:lvlText w:val=""/>
      <w:lvlJc w:val="left"/>
      <w:pPr>
        <w:tabs>
          <w:tab w:val="num" w:pos="3660"/>
        </w:tabs>
        <w:ind w:left="3660" w:hanging="360"/>
      </w:pPr>
      <w:rPr>
        <w:rFonts w:ascii="Symbol" w:hAnsi="Symbol" w:hint="default"/>
      </w:rPr>
    </w:lvl>
    <w:lvl w:ilvl="4" w:tplc="041B0003" w:tentative="1">
      <w:start w:val="1"/>
      <w:numFmt w:val="bullet"/>
      <w:lvlText w:val="o"/>
      <w:lvlJc w:val="left"/>
      <w:pPr>
        <w:tabs>
          <w:tab w:val="num" w:pos="4380"/>
        </w:tabs>
        <w:ind w:left="4380" w:hanging="360"/>
      </w:pPr>
      <w:rPr>
        <w:rFonts w:ascii="Courier New" w:hAnsi="Courier New" w:cs="Courier New" w:hint="default"/>
      </w:rPr>
    </w:lvl>
    <w:lvl w:ilvl="5" w:tplc="041B0005" w:tentative="1">
      <w:start w:val="1"/>
      <w:numFmt w:val="bullet"/>
      <w:lvlText w:val=""/>
      <w:lvlJc w:val="left"/>
      <w:pPr>
        <w:tabs>
          <w:tab w:val="num" w:pos="5100"/>
        </w:tabs>
        <w:ind w:left="5100" w:hanging="360"/>
      </w:pPr>
      <w:rPr>
        <w:rFonts w:ascii="Wingdings" w:hAnsi="Wingdings" w:hint="default"/>
      </w:rPr>
    </w:lvl>
    <w:lvl w:ilvl="6" w:tplc="041B0001" w:tentative="1">
      <w:start w:val="1"/>
      <w:numFmt w:val="bullet"/>
      <w:lvlText w:val=""/>
      <w:lvlJc w:val="left"/>
      <w:pPr>
        <w:tabs>
          <w:tab w:val="num" w:pos="5820"/>
        </w:tabs>
        <w:ind w:left="5820" w:hanging="360"/>
      </w:pPr>
      <w:rPr>
        <w:rFonts w:ascii="Symbol" w:hAnsi="Symbol" w:hint="default"/>
      </w:rPr>
    </w:lvl>
    <w:lvl w:ilvl="7" w:tplc="041B0003" w:tentative="1">
      <w:start w:val="1"/>
      <w:numFmt w:val="bullet"/>
      <w:lvlText w:val="o"/>
      <w:lvlJc w:val="left"/>
      <w:pPr>
        <w:tabs>
          <w:tab w:val="num" w:pos="6540"/>
        </w:tabs>
        <w:ind w:left="6540" w:hanging="360"/>
      </w:pPr>
      <w:rPr>
        <w:rFonts w:ascii="Courier New" w:hAnsi="Courier New" w:cs="Courier New" w:hint="default"/>
      </w:rPr>
    </w:lvl>
    <w:lvl w:ilvl="8" w:tplc="041B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2153807"/>
    <w:multiLevelType w:val="hybridMultilevel"/>
    <w:tmpl w:val="33C8F15A"/>
    <w:lvl w:ilvl="0" w:tplc="D6DC4C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71557"/>
    <w:multiLevelType w:val="hybridMultilevel"/>
    <w:tmpl w:val="DEB08308"/>
    <w:lvl w:ilvl="0" w:tplc="D6DC4C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2FC9"/>
    <w:multiLevelType w:val="hybridMultilevel"/>
    <w:tmpl w:val="8702F01A"/>
    <w:lvl w:ilvl="0" w:tplc="D6DC4C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66159"/>
    <w:multiLevelType w:val="hybridMultilevel"/>
    <w:tmpl w:val="C546B8A4"/>
    <w:lvl w:ilvl="0" w:tplc="D6DC4C1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201979"/>
    <w:multiLevelType w:val="multilevel"/>
    <w:tmpl w:val="DCEA9CA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851CA2"/>
    <w:multiLevelType w:val="hybridMultilevel"/>
    <w:tmpl w:val="E79495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BC49DE"/>
    <w:multiLevelType w:val="hybridMultilevel"/>
    <w:tmpl w:val="B372AAF2"/>
    <w:lvl w:ilvl="0" w:tplc="C03EB232">
      <w:start w:val="1"/>
      <w:numFmt w:val="lowerLetter"/>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04027E9"/>
    <w:multiLevelType w:val="hybridMultilevel"/>
    <w:tmpl w:val="091010EA"/>
    <w:lvl w:ilvl="0" w:tplc="041B0017">
      <w:start w:val="1"/>
      <w:numFmt w:val="lowerLetter"/>
      <w:lvlText w:val="%1)"/>
      <w:lvlJc w:val="left"/>
      <w:pPr>
        <w:tabs>
          <w:tab w:val="num" w:pos="720"/>
        </w:tabs>
        <w:ind w:left="720" w:hanging="360"/>
      </w:pPr>
      <w:rPr>
        <w:rFonts w:hint="default"/>
      </w:rPr>
    </w:lvl>
    <w:lvl w:ilvl="1" w:tplc="26B6A04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4550497E"/>
    <w:multiLevelType w:val="multilevel"/>
    <w:tmpl w:val="4BCE945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92501"/>
    <w:multiLevelType w:val="multilevel"/>
    <w:tmpl w:val="8C9CE8B4"/>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A019C5"/>
    <w:multiLevelType w:val="hybridMultilevel"/>
    <w:tmpl w:val="F7A6333C"/>
    <w:lvl w:ilvl="0" w:tplc="041B000F">
      <w:start w:val="1"/>
      <w:numFmt w:val="decimal"/>
      <w:lvlText w:val="%1."/>
      <w:lvlJc w:val="left"/>
      <w:pPr>
        <w:tabs>
          <w:tab w:val="num" w:pos="1080"/>
        </w:tabs>
        <w:ind w:left="1080" w:hanging="360"/>
      </w:pPr>
    </w:lvl>
    <w:lvl w:ilvl="1" w:tplc="D05619EC">
      <w:start w:val="1"/>
      <w:numFmt w:val="lowerLetter"/>
      <w:lvlText w:val="%2.)"/>
      <w:lvlJc w:val="left"/>
      <w:pPr>
        <w:tabs>
          <w:tab w:val="num" w:pos="1800"/>
        </w:tabs>
        <w:ind w:left="1800" w:hanging="36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4C2C085F"/>
    <w:multiLevelType w:val="hybridMultilevel"/>
    <w:tmpl w:val="AB488F46"/>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 w15:restartNumberingAfterBreak="0">
    <w:nsid w:val="4C5946B8"/>
    <w:multiLevelType w:val="hybridMultilevel"/>
    <w:tmpl w:val="A7D0677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258BA"/>
    <w:multiLevelType w:val="hybridMultilevel"/>
    <w:tmpl w:val="40D47756"/>
    <w:lvl w:ilvl="0" w:tplc="D6DC4C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23E1C"/>
    <w:multiLevelType w:val="hybridMultilevel"/>
    <w:tmpl w:val="CE809E9E"/>
    <w:lvl w:ilvl="0" w:tplc="D6DC4C1E">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2" w15:restartNumberingAfterBreak="0">
    <w:nsid w:val="65A54323"/>
    <w:multiLevelType w:val="hybridMultilevel"/>
    <w:tmpl w:val="45D433B4"/>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005C46"/>
    <w:multiLevelType w:val="hybridMultilevel"/>
    <w:tmpl w:val="7C7E8FA2"/>
    <w:lvl w:ilvl="0" w:tplc="D6DC4C1E">
      <w:start w:val="1"/>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6A0C136E"/>
    <w:multiLevelType w:val="hybridMultilevel"/>
    <w:tmpl w:val="2A600918"/>
    <w:lvl w:ilvl="0" w:tplc="D6DC4C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B1667"/>
    <w:multiLevelType w:val="multilevel"/>
    <w:tmpl w:val="3EA81E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BC0433"/>
    <w:multiLevelType w:val="hybridMultilevel"/>
    <w:tmpl w:val="A95A4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D6DC4C1E">
      <w:start w:val="1"/>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B072171"/>
    <w:multiLevelType w:val="hybridMultilevel"/>
    <w:tmpl w:val="C8D8989A"/>
    <w:lvl w:ilvl="0" w:tplc="8256971E">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8" w15:restartNumberingAfterBreak="0">
    <w:nsid w:val="7DBA09F0"/>
    <w:multiLevelType w:val="hybridMultilevel"/>
    <w:tmpl w:val="2BA6D394"/>
    <w:lvl w:ilvl="0" w:tplc="D6DC4C1E">
      <w:start w:val="1"/>
      <w:numFmt w:val="bullet"/>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7F6A624D"/>
    <w:multiLevelType w:val="hybridMultilevel"/>
    <w:tmpl w:val="5D529B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9"/>
  </w:num>
  <w:num w:numId="4">
    <w:abstractNumId w:val="13"/>
  </w:num>
  <w:num w:numId="5">
    <w:abstractNumId w:val="11"/>
  </w:num>
  <w:num w:numId="6">
    <w:abstractNumId w:val="14"/>
  </w:num>
  <w:num w:numId="7">
    <w:abstractNumId w:val="16"/>
  </w:num>
  <w:num w:numId="8">
    <w:abstractNumId w:val="0"/>
  </w:num>
  <w:num w:numId="9">
    <w:abstractNumId w:val="17"/>
  </w:num>
  <w:num w:numId="10">
    <w:abstractNumId w:val="27"/>
  </w:num>
  <w:num w:numId="11">
    <w:abstractNumId w:val="7"/>
  </w:num>
  <w:num w:numId="12">
    <w:abstractNumId w:val="8"/>
  </w:num>
  <w:num w:numId="13">
    <w:abstractNumId w:val="25"/>
  </w:num>
  <w:num w:numId="14">
    <w:abstractNumId w:val="15"/>
  </w:num>
  <w:num w:numId="15">
    <w:abstractNumId w:val="2"/>
  </w:num>
  <w:num w:numId="16">
    <w:abstractNumId w:val="3"/>
  </w:num>
  <w:num w:numId="17">
    <w:abstractNumId w:val="6"/>
  </w:num>
  <w:num w:numId="18">
    <w:abstractNumId w:val="19"/>
  </w:num>
  <w:num w:numId="19">
    <w:abstractNumId w:val="4"/>
  </w:num>
  <w:num w:numId="20">
    <w:abstractNumId w:val="23"/>
  </w:num>
  <w:num w:numId="21">
    <w:abstractNumId w:val="21"/>
  </w:num>
  <w:num w:numId="22">
    <w:abstractNumId w:val="28"/>
  </w:num>
  <w:num w:numId="23">
    <w:abstractNumId w:val="22"/>
  </w:num>
  <w:num w:numId="24">
    <w:abstractNumId w:val="5"/>
  </w:num>
  <w:num w:numId="25">
    <w:abstractNumId w:val="26"/>
  </w:num>
  <w:num w:numId="26">
    <w:abstractNumId w:val="10"/>
  </w:num>
  <w:num w:numId="27">
    <w:abstractNumId w:val="12"/>
  </w:num>
  <w:num w:numId="28">
    <w:abstractNumId w:val="24"/>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FB"/>
    <w:rsid w:val="00002499"/>
    <w:rsid w:val="00014824"/>
    <w:rsid w:val="00015DE4"/>
    <w:rsid w:val="00021043"/>
    <w:rsid w:val="00026EF8"/>
    <w:rsid w:val="000326B1"/>
    <w:rsid w:val="00035775"/>
    <w:rsid w:val="00041358"/>
    <w:rsid w:val="000441C9"/>
    <w:rsid w:val="000631A0"/>
    <w:rsid w:val="0006531B"/>
    <w:rsid w:val="00082BE4"/>
    <w:rsid w:val="00092944"/>
    <w:rsid w:val="000A520E"/>
    <w:rsid w:val="000B5087"/>
    <w:rsid w:val="000D1364"/>
    <w:rsid w:val="000D549A"/>
    <w:rsid w:val="000E1D63"/>
    <w:rsid w:val="000E3BFB"/>
    <w:rsid w:val="001000A3"/>
    <w:rsid w:val="0010322B"/>
    <w:rsid w:val="00106EF9"/>
    <w:rsid w:val="001132CF"/>
    <w:rsid w:val="00115EC4"/>
    <w:rsid w:val="00131D1E"/>
    <w:rsid w:val="00132C96"/>
    <w:rsid w:val="001345DF"/>
    <w:rsid w:val="00140BC2"/>
    <w:rsid w:val="0014450E"/>
    <w:rsid w:val="001529B9"/>
    <w:rsid w:val="00153877"/>
    <w:rsid w:val="001575B9"/>
    <w:rsid w:val="0016014D"/>
    <w:rsid w:val="00161BC1"/>
    <w:rsid w:val="001639A6"/>
    <w:rsid w:val="00164BD5"/>
    <w:rsid w:val="00166757"/>
    <w:rsid w:val="001673E3"/>
    <w:rsid w:val="001714BB"/>
    <w:rsid w:val="00177489"/>
    <w:rsid w:val="001A2742"/>
    <w:rsid w:val="001A4698"/>
    <w:rsid w:val="001B55D8"/>
    <w:rsid w:val="001C21F4"/>
    <w:rsid w:val="001C22F3"/>
    <w:rsid w:val="001C6A88"/>
    <w:rsid w:val="001D21A4"/>
    <w:rsid w:val="00204CE6"/>
    <w:rsid w:val="00212287"/>
    <w:rsid w:val="00214FC9"/>
    <w:rsid w:val="00233AC8"/>
    <w:rsid w:val="002343DB"/>
    <w:rsid w:val="0024736E"/>
    <w:rsid w:val="00281EC5"/>
    <w:rsid w:val="00282855"/>
    <w:rsid w:val="00297133"/>
    <w:rsid w:val="002A42CF"/>
    <w:rsid w:val="002A617A"/>
    <w:rsid w:val="002B05B4"/>
    <w:rsid w:val="002C3341"/>
    <w:rsid w:val="002D2835"/>
    <w:rsid w:val="002D586B"/>
    <w:rsid w:val="002F4766"/>
    <w:rsid w:val="0030306B"/>
    <w:rsid w:val="0030577F"/>
    <w:rsid w:val="00317F20"/>
    <w:rsid w:val="00325026"/>
    <w:rsid w:val="003252A3"/>
    <w:rsid w:val="00331FBD"/>
    <w:rsid w:val="00333FE3"/>
    <w:rsid w:val="00337EC3"/>
    <w:rsid w:val="00342F7C"/>
    <w:rsid w:val="00346B88"/>
    <w:rsid w:val="00352388"/>
    <w:rsid w:val="00367F32"/>
    <w:rsid w:val="00374FA5"/>
    <w:rsid w:val="0037761C"/>
    <w:rsid w:val="00380218"/>
    <w:rsid w:val="00382A02"/>
    <w:rsid w:val="003901AA"/>
    <w:rsid w:val="00390BFA"/>
    <w:rsid w:val="003A17FF"/>
    <w:rsid w:val="003A64E9"/>
    <w:rsid w:val="003A69ED"/>
    <w:rsid w:val="003B347B"/>
    <w:rsid w:val="003C0360"/>
    <w:rsid w:val="003C302A"/>
    <w:rsid w:val="003D6B9A"/>
    <w:rsid w:val="003D6CEC"/>
    <w:rsid w:val="003F09D6"/>
    <w:rsid w:val="00413F15"/>
    <w:rsid w:val="0041654C"/>
    <w:rsid w:val="00425260"/>
    <w:rsid w:val="00430BE1"/>
    <w:rsid w:val="00430FB6"/>
    <w:rsid w:val="004441BE"/>
    <w:rsid w:val="00451CB5"/>
    <w:rsid w:val="00452150"/>
    <w:rsid w:val="00471A45"/>
    <w:rsid w:val="004735D5"/>
    <w:rsid w:val="0048349E"/>
    <w:rsid w:val="00483E03"/>
    <w:rsid w:val="004849E3"/>
    <w:rsid w:val="004A54F7"/>
    <w:rsid w:val="004B2B23"/>
    <w:rsid w:val="004B7A1D"/>
    <w:rsid w:val="004B7BCC"/>
    <w:rsid w:val="004D7E98"/>
    <w:rsid w:val="004E567B"/>
    <w:rsid w:val="004F5699"/>
    <w:rsid w:val="004F6A14"/>
    <w:rsid w:val="0050111B"/>
    <w:rsid w:val="00501323"/>
    <w:rsid w:val="005077C2"/>
    <w:rsid w:val="005139FB"/>
    <w:rsid w:val="00531CAE"/>
    <w:rsid w:val="00534049"/>
    <w:rsid w:val="00536622"/>
    <w:rsid w:val="00547899"/>
    <w:rsid w:val="00553A38"/>
    <w:rsid w:val="005728A2"/>
    <w:rsid w:val="00574B67"/>
    <w:rsid w:val="0057561E"/>
    <w:rsid w:val="00577752"/>
    <w:rsid w:val="00590C5B"/>
    <w:rsid w:val="0059705C"/>
    <w:rsid w:val="005A4727"/>
    <w:rsid w:val="005A6D7D"/>
    <w:rsid w:val="005A73E2"/>
    <w:rsid w:val="005B6F4E"/>
    <w:rsid w:val="005C01D7"/>
    <w:rsid w:val="005C1E0F"/>
    <w:rsid w:val="005C4DFB"/>
    <w:rsid w:val="005C5603"/>
    <w:rsid w:val="005C6ABA"/>
    <w:rsid w:val="005E131E"/>
    <w:rsid w:val="005E2199"/>
    <w:rsid w:val="00600CF6"/>
    <w:rsid w:val="00611169"/>
    <w:rsid w:val="006121A5"/>
    <w:rsid w:val="0061491D"/>
    <w:rsid w:val="00616C2C"/>
    <w:rsid w:val="00621F06"/>
    <w:rsid w:val="00630E89"/>
    <w:rsid w:val="006328B2"/>
    <w:rsid w:val="00636BC1"/>
    <w:rsid w:val="0064477E"/>
    <w:rsid w:val="00645331"/>
    <w:rsid w:val="00656A34"/>
    <w:rsid w:val="00656BC0"/>
    <w:rsid w:val="00662332"/>
    <w:rsid w:val="00662649"/>
    <w:rsid w:val="006653FB"/>
    <w:rsid w:val="00665B9C"/>
    <w:rsid w:val="00666AE9"/>
    <w:rsid w:val="00671200"/>
    <w:rsid w:val="006919D4"/>
    <w:rsid w:val="00695E45"/>
    <w:rsid w:val="006A16F5"/>
    <w:rsid w:val="006A37B5"/>
    <w:rsid w:val="006B0968"/>
    <w:rsid w:val="006B1D3A"/>
    <w:rsid w:val="006C16AC"/>
    <w:rsid w:val="006C6B93"/>
    <w:rsid w:val="006C75B0"/>
    <w:rsid w:val="006D0BEF"/>
    <w:rsid w:val="006D3222"/>
    <w:rsid w:val="006D3253"/>
    <w:rsid w:val="006D50E6"/>
    <w:rsid w:val="006D74D4"/>
    <w:rsid w:val="006F014B"/>
    <w:rsid w:val="00703077"/>
    <w:rsid w:val="007046BE"/>
    <w:rsid w:val="00711950"/>
    <w:rsid w:val="00714673"/>
    <w:rsid w:val="0071576F"/>
    <w:rsid w:val="0071748B"/>
    <w:rsid w:val="007341B2"/>
    <w:rsid w:val="007473A7"/>
    <w:rsid w:val="00753B99"/>
    <w:rsid w:val="00756D97"/>
    <w:rsid w:val="00761F79"/>
    <w:rsid w:val="00773698"/>
    <w:rsid w:val="00780DD5"/>
    <w:rsid w:val="007834E9"/>
    <w:rsid w:val="0078465B"/>
    <w:rsid w:val="007920E5"/>
    <w:rsid w:val="00793629"/>
    <w:rsid w:val="00795054"/>
    <w:rsid w:val="007A216E"/>
    <w:rsid w:val="007A5BB2"/>
    <w:rsid w:val="007C6AA2"/>
    <w:rsid w:val="007D0A60"/>
    <w:rsid w:val="007D1D22"/>
    <w:rsid w:val="007D5BB6"/>
    <w:rsid w:val="007E20C1"/>
    <w:rsid w:val="00802F49"/>
    <w:rsid w:val="00807800"/>
    <w:rsid w:val="00810E2F"/>
    <w:rsid w:val="0081101B"/>
    <w:rsid w:val="00811231"/>
    <w:rsid w:val="0081256E"/>
    <w:rsid w:val="00816900"/>
    <w:rsid w:val="00821473"/>
    <w:rsid w:val="00827D2A"/>
    <w:rsid w:val="00832F0E"/>
    <w:rsid w:val="00834447"/>
    <w:rsid w:val="00841391"/>
    <w:rsid w:val="00841BB1"/>
    <w:rsid w:val="00846C1E"/>
    <w:rsid w:val="00847EE4"/>
    <w:rsid w:val="008559F3"/>
    <w:rsid w:val="00861696"/>
    <w:rsid w:val="008660E1"/>
    <w:rsid w:val="0087189E"/>
    <w:rsid w:val="00875C3A"/>
    <w:rsid w:val="0087730D"/>
    <w:rsid w:val="0088394C"/>
    <w:rsid w:val="00886BCC"/>
    <w:rsid w:val="00887324"/>
    <w:rsid w:val="008934C2"/>
    <w:rsid w:val="008944EE"/>
    <w:rsid w:val="00896B60"/>
    <w:rsid w:val="008A2ACF"/>
    <w:rsid w:val="008A3302"/>
    <w:rsid w:val="008A6A8B"/>
    <w:rsid w:val="008B09C0"/>
    <w:rsid w:val="008C070F"/>
    <w:rsid w:val="008D06AF"/>
    <w:rsid w:val="008D6D1D"/>
    <w:rsid w:val="008F124D"/>
    <w:rsid w:val="008F368E"/>
    <w:rsid w:val="008F60B5"/>
    <w:rsid w:val="009018B6"/>
    <w:rsid w:val="00904CEB"/>
    <w:rsid w:val="00912280"/>
    <w:rsid w:val="0091488B"/>
    <w:rsid w:val="00916535"/>
    <w:rsid w:val="00916FF1"/>
    <w:rsid w:val="009241E1"/>
    <w:rsid w:val="00925F86"/>
    <w:rsid w:val="00945011"/>
    <w:rsid w:val="00963F60"/>
    <w:rsid w:val="00971378"/>
    <w:rsid w:val="00972210"/>
    <w:rsid w:val="009734A8"/>
    <w:rsid w:val="00973529"/>
    <w:rsid w:val="009771D8"/>
    <w:rsid w:val="009852D3"/>
    <w:rsid w:val="0098789B"/>
    <w:rsid w:val="00987D68"/>
    <w:rsid w:val="0099107F"/>
    <w:rsid w:val="0099458A"/>
    <w:rsid w:val="009A04CC"/>
    <w:rsid w:val="009A4253"/>
    <w:rsid w:val="009B75CF"/>
    <w:rsid w:val="009C5DF0"/>
    <w:rsid w:val="009E767E"/>
    <w:rsid w:val="009F173F"/>
    <w:rsid w:val="00A0351C"/>
    <w:rsid w:val="00A1064C"/>
    <w:rsid w:val="00A312F6"/>
    <w:rsid w:val="00A33404"/>
    <w:rsid w:val="00A33C87"/>
    <w:rsid w:val="00A456D4"/>
    <w:rsid w:val="00A461B5"/>
    <w:rsid w:val="00A47792"/>
    <w:rsid w:val="00A5041B"/>
    <w:rsid w:val="00A72B46"/>
    <w:rsid w:val="00A90AB2"/>
    <w:rsid w:val="00A91D75"/>
    <w:rsid w:val="00A96837"/>
    <w:rsid w:val="00AA42DD"/>
    <w:rsid w:val="00AA44D5"/>
    <w:rsid w:val="00AC0B8E"/>
    <w:rsid w:val="00AD4421"/>
    <w:rsid w:val="00AD5E98"/>
    <w:rsid w:val="00AE12E0"/>
    <w:rsid w:val="00B1323E"/>
    <w:rsid w:val="00B13F0B"/>
    <w:rsid w:val="00B14AD9"/>
    <w:rsid w:val="00B16818"/>
    <w:rsid w:val="00B25ECD"/>
    <w:rsid w:val="00B37674"/>
    <w:rsid w:val="00B40E79"/>
    <w:rsid w:val="00B4400F"/>
    <w:rsid w:val="00B46125"/>
    <w:rsid w:val="00B5399B"/>
    <w:rsid w:val="00B6381A"/>
    <w:rsid w:val="00B643C6"/>
    <w:rsid w:val="00B81F41"/>
    <w:rsid w:val="00BA337C"/>
    <w:rsid w:val="00BA454B"/>
    <w:rsid w:val="00BA774A"/>
    <w:rsid w:val="00BD25AE"/>
    <w:rsid w:val="00BD6583"/>
    <w:rsid w:val="00BE07B4"/>
    <w:rsid w:val="00BE658F"/>
    <w:rsid w:val="00BF34DB"/>
    <w:rsid w:val="00C110D7"/>
    <w:rsid w:val="00C2339C"/>
    <w:rsid w:val="00C2431B"/>
    <w:rsid w:val="00C35100"/>
    <w:rsid w:val="00C40679"/>
    <w:rsid w:val="00C4371F"/>
    <w:rsid w:val="00C43BDC"/>
    <w:rsid w:val="00C47C96"/>
    <w:rsid w:val="00C51E06"/>
    <w:rsid w:val="00C62F8C"/>
    <w:rsid w:val="00C65CD3"/>
    <w:rsid w:val="00C66D1A"/>
    <w:rsid w:val="00C9169E"/>
    <w:rsid w:val="00C95FB5"/>
    <w:rsid w:val="00CB1513"/>
    <w:rsid w:val="00CC6421"/>
    <w:rsid w:val="00CC67EF"/>
    <w:rsid w:val="00CD093C"/>
    <w:rsid w:val="00CD75DA"/>
    <w:rsid w:val="00CE059C"/>
    <w:rsid w:val="00CE16A2"/>
    <w:rsid w:val="00CF040D"/>
    <w:rsid w:val="00CF60A3"/>
    <w:rsid w:val="00D029F9"/>
    <w:rsid w:val="00D30350"/>
    <w:rsid w:val="00D37FFD"/>
    <w:rsid w:val="00D42E4B"/>
    <w:rsid w:val="00D43268"/>
    <w:rsid w:val="00D516F4"/>
    <w:rsid w:val="00D56249"/>
    <w:rsid w:val="00D80BF6"/>
    <w:rsid w:val="00D841CB"/>
    <w:rsid w:val="00D8631A"/>
    <w:rsid w:val="00D8720F"/>
    <w:rsid w:val="00D919FA"/>
    <w:rsid w:val="00D91B40"/>
    <w:rsid w:val="00D939F1"/>
    <w:rsid w:val="00D94FCD"/>
    <w:rsid w:val="00D97C6D"/>
    <w:rsid w:val="00DA0386"/>
    <w:rsid w:val="00DB10C0"/>
    <w:rsid w:val="00DC2EBE"/>
    <w:rsid w:val="00DD296D"/>
    <w:rsid w:val="00DD3420"/>
    <w:rsid w:val="00DE2730"/>
    <w:rsid w:val="00DE6E4E"/>
    <w:rsid w:val="00DF4D02"/>
    <w:rsid w:val="00E015ED"/>
    <w:rsid w:val="00E22773"/>
    <w:rsid w:val="00E231B0"/>
    <w:rsid w:val="00E25B30"/>
    <w:rsid w:val="00E315B9"/>
    <w:rsid w:val="00E35950"/>
    <w:rsid w:val="00E61CF2"/>
    <w:rsid w:val="00E63A34"/>
    <w:rsid w:val="00EA1383"/>
    <w:rsid w:val="00EB0E26"/>
    <w:rsid w:val="00EB76D6"/>
    <w:rsid w:val="00EC12DB"/>
    <w:rsid w:val="00EE1A4F"/>
    <w:rsid w:val="00EF666B"/>
    <w:rsid w:val="00F15AD4"/>
    <w:rsid w:val="00F178AF"/>
    <w:rsid w:val="00F22694"/>
    <w:rsid w:val="00F23D13"/>
    <w:rsid w:val="00F246A1"/>
    <w:rsid w:val="00F342B7"/>
    <w:rsid w:val="00F459C4"/>
    <w:rsid w:val="00F50CDC"/>
    <w:rsid w:val="00F82D37"/>
    <w:rsid w:val="00F833B8"/>
    <w:rsid w:val="00F84008"/>
    <w:rsid w:val="00FA472A"/>
    <w:rsid w:val="00FA76D2"/>
    <w:rsid w:val="00FB01B4"/>
    <w:rsid w:val="00FB56BE"/>
    <w:rsid w:val="00FC5CA9"/>
    <w:rsid w:val="00FC6002"/>
    <w:rsid w:val="00FD2D9C"/>
    <w:rsid w:val="00FD5136"/>
    <w:rsid w:val="00FE0A7E"/>
    <w:rsid w:val="00FE1BEF"/>
    <w:rsid w:val="00FF0504"/>
    <w:rsid w:val="00FF535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054209"/>
  <w15:docId w15:val="{912DE2A1-2369-4DD3-BD92-F0EFC8EC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y">
    <w:name w:val="Normal"/>
    <w:qFormat/>
    <w:rsid w:val="00317F20"/>
    <w:rPr>
      <w:sz w:val="24"/>
      <w:szCs w:val="24"/>
    </w:rPr>
  </w:style>
  <w:style w:type="paragraph" w:styleId="Nadpis2">
    <w:name w:val="heading 2"/>
    <w:basedOn w:val="Normlny"/>
    <w:next w:val="Normlny"/>
    <w:link w:val="Nadpis2Char"/>
    <w:qFormat/>
    <w:rsid w:val="0041654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654C"/>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41654C"/>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653FB"/>
    <w:pPr>
      <w:autoSpaceDE w:val="0"/>
      <w:autoSpaceDN w:val="0"/>
      <w:adjustRightInd w:val="0"/>
    </w:pPr>
    <w:rPr>
      <w:color w:val="000000"/>
      <w:sz w:val="24"/>
      <w:szCs w:val="24"/>
    </w:rPr>
  </w:style>
  <w:style w:type="character" w:customStyle="1" w:styleId="Nadpis2Char">
    <w:name w:val="Nadpis 2 Char"/>
    <w:basedOn w:val="Predvolenpsmoodseku"/>
    <w:link w:val="Nadpis2"/>
    <w:rsid w:val="0041654C"/>
    <w:rPr>
      <w:rFonts w:ascii="Arial" w:hAnsi="Arial" w:cs="Arial"/>
      <w:b/>
      <w:bCs/>
      <w:i/>
      <w:iCs/>
      <w:sz w:val="28"/>
      <w:szCs w:val="28"/>
    </w:rPr>
  </w:style>
  <w:style w:type="character" w:customStyle="1" w:styleId="Nadpis3Char">
    <w:name w:val="Nadpis 3 Char"/>
    <w:basedOn w:val="Predvolenpsmoodseku"/>
    <w:link w:val="Nadpis3"/>
    <w:rsid w:val="0041654C"/>
    <w:rPr>
      <w:rFonts w:ascii="Arial" w:hAnsi="Arial" w:cs="Arial"/>
      <w:b/>
      <w:bCs/>
      <w:sz w:val="26"/>
      <w:szCs w:val="26"/>
    </w:rPr>
  </w:style>
  <w:style w:type="character" w:customStyle="1" w:styleId="Nadpis4Char">
    <w:name w:val="Nadpis 4 Char"/>
    <w:basedOn w:val="Predvolenpsmoodseku"/>
    <w:link w:val="Nadpis4"/>
    <w:rsid w:val="0041654C"/>
    <w:rPr>
      <w:b/>
      <w:bCs/>
      <w:sz w:val="28"/>
      <w:szCs w:val="28"/>
    </w:rPr>
  </w:style>
  <w:style w:type="paragraph" w:customStyle="1" w:styleId="ZkladntextIMP">
    <w:name w:val="Základní text_IMP"/>
    <w:basedOn w:val="Normlny"/>
    <w:link w:val="ZkladntextIMPChar"/>
    <w:rsid w:val="0041654C"/>
    <w:pPr>
      <w:widowControl w:val="0"/>
      <w:spacing w:line="228" w:lineRule="auto"/>
      <w:jc w:val="both"/>
    </w:pPr>
    <w:rPr>
      <w:lang w:val="cs-CZ"/>
    </w:rPr>
  </w:style>
  <w:style w:type="paragraph" w:styleId="Obsah2">
    <w:name w:val="toc 2"/>
    <w:basedOn w:val="Normlny"/>
    <w:next w:val="Normlny"/>
    <w:autoRedefine/>
    <w:rsid w:val="0041654C"/>
    <w:pPr>
      <w:tabs>
        <w:tab w:val="left" w:pos="3432"/>
        <w:tab w:val="right" w:leader="dot" w:pos="9062"/>
      </w:tabs>
      <w:ind w:left="240"/>
    </w:pPr>
    <w:rPr>
      <w:noProof/>
      <w:color w:val="000000"/>
    </w:rPr>
  </w:style>
  <w:style w:type="paragraph" w:styleId="Obsah3">
    <w:name w:val="toc 3"/>
    <w:basedOn w:val="Normlny"/>
    <w:next w:val="Normlny"/>
    <w:autoRedefine/>
    <w:rsid w:val="0041654C"/>
    <w:pPr>
      <w:tabs>
        <w:tab w:val="left" w:pos="1080"/>
        <w:tab w:val="right" w:leader="dot" w:pos="9062"/>
      </w:tabs>
      <w:ind w:left="480"/>
    </w:pPr>
  </w:style>
  <w:style w:type="character" w:styleId="Hypertextovprepojenie">
    <w:name w:val="Hyperlink"/>
    <w:basedOn w:val="Predvolenpsmoodseku"/>
    <w:rsid w:val="0041654C"/>
    <w:rPr>
      <w:color w:val="0000FF"/>
      <w:u w:val="single"/>
    </w:rPr>
  </w:style>
  <w:style w:type="paragraph" w:styleId="Pta">
    <w:name w:val="footer"/>
    <w:basedOn w:val="Normlny"/>
    <w:link w:val="PtaChar"/>
    <w:rsid w:val="0041654C"/>
    <w:pPr>
      <w:tabs>
        <w:tab w:val="center" w:pos="4536"/>
        <w:tab w:val="right" w:pos="9072"/>
      </w:tabs>
    </w:pPr>
  </w:style>
  <w:style w:type="character" w:customStyle="1" w:styleId="PtaChar">
    <w:name w:val="Päta Char"/>
    <w:basedOn w:val="Predvolenpsmoodseku"/>
    <w:link w:val="Pta"/>
    <w:rsid w:val="0041654C"/>
    <w:rPr>
      <w:sz w:val="24"/>
      <w:szCs w:val="24"/>
    </w:rPr>
  </w:style>
  <w:style w:type="character" w:styleId="slostrany">
    <w:name w:val="page number"/>
    <w:basedOn w:val="Predvolenpsmoodseku"/>
    <w:rsid w:val="0041654C"/>
  </w:style>
  <w:style w:type="character" w:customStyle="1" w:styleId="ZkladntextIMPChar">
    <w:name w:val="Základní text_IMP Char"/>
    <w:basedOn w:val="Predvolenpsmoodseku"/>
    <w:link w:val="ZkladntextIMP"/>
    <w:rsid w:val="0041654C"/>
    <w:rPr>
      <w:sz w:val="24"/>
      <w:szCs w:val="24"/>
      <w:lang w:val="cs-CZ"/>
    </w:rPr>
  </w:style>
  <w:style w:type="paragraph" w:styleId="Textbubliny">
    <w:name w:val="Balloon Text"/>
    <w:basedOn w:val="Normlny"/>
    <w:link w:val="TextbublinyChar"/>
    <w:rsid w:val="00CB1513"/>
    <w:rPr>
      <w:rFonts w:ascii="Tahoma" w:hAnsi="Tahoma" w:cs="Tahoma"/>
      <w:sz w:val="16"/>
      <w:szCs w:val="16"/>
    </w:rPr>
  </w:style>
  <w:style w:type="character" w:customStyle="1" w:styleId="TextbublinyChar">
    <w:name w:val="Text bubliny Char"/>
    <w:basedOn w:val="Predvolenpsmoodseku"/>
    <w:link w:val="Textbubliny"/>
    <w:rsid w:val="00CB1513"/>
    <w:rPr>
      <w:rFonts w:ascii="Tahoma" w:hAnsi="Tahoma" w:cs="Tahoma"/>
      <w:sz w:val="16"/>
      <w:szCs w:val="16"/>
    </w:rPr>
  </w:style>
  <w:style w:type="paragraph" w:styleId="Odsekzoznamu">
    <w:name w:val="List Paragraph"/>
    <w:basedOn w:val="Normlny"/>
    <w:uiPriority w:val="34"/>
    <w:qFormat/>
    <w:rsid w:val="00281EC5"/>
    <w:pPr>
      <w:ind w:left="720"/>
      <w:contextualSpacing/>
    </w:pPr>
  </w:style>
  <w:style w:type="character" w:customStyle="1" w:styleId="h1a2">
    <w:name w:val="h1a2"/>
    <w:basedOn w:val="Predvolenpsmoodseku"/>
    <w:rsid w:val="00FF0504"/>
    <w:rPr>
      <w:vanish w:val="0"/>
      <w:webHidden w:val="0"/>
      <w:sz w:val="24"/>
      <w:szCs w:val="24"/>
      <w:specVanish w:val="0"/>
    </w:rPr>
  </w:style>
  <w:style w:type="paragraph" w:styleId="Hlavika">
    <w:name w:val="header"/>
    <w:basedOn w:val="Normlny"/>
    <w:link w:val="HlavikaChar"/>
    <w:rsid w:val="004A54F7"/>
    <w:pPr>
      <w:tabs>
        <w:tab w:val="center" w:pos="4536"/>
        <w:tab w:val="right" w:pos="9072"/>
      </w:tabs>
    </w:pPr>
  </w:style>
  <w:style w:type="character" w:customStyle="1" w:styleId="HlavikaChar">
    <w:name w:val="Hlavička Char"/>
    <w:basedOn w:val="Predvolenpsmoodseku"/>
    <w:link w:val="Hlavika"/>
    <w:rsid w:val="004A5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048">
      <w:bodyDiv w:val="1"/>
      <w:marLeft w:val="0"/>
      <w:marRight w:val="0"/>
      <w:marTop w:val="0"/>
      <w:marBottom w:val="0"/>
      <w:divBdr>
        <w:top w:val="none" w:sz="0" w:space="0" w:color="auto"/>
        <w:left w:val="none" w:sz="0" w:space="0" w:color="auto"/>
        <w:bottom w:val="none" w:sz="0" w:space="0" w:color="auto"/>
        <w:right w:val="none" w:sz="0" w:space="0" w:color="auto"/>
      </w:divBdr>
    </w:div>
    <w:div w:id="86852950">
      <w:bodyDiv w:val="1"/>
      <w:marLeft w:val="0"/>
      <w:marRight w:val="0"/>
      <w:marTop w:val="0"/>
      <w:marBottom w:val="0"/>
      <w:divBdr>
        <w:top w:val="none" w:sz="0" w:space="0" w:color="auto"/>
        <w:left w:val="none" w:sz="0" w:space="0" w:color="auto"/>
        <w:bottom w:val="none" w:sz="0" w:space="0" w:color="auto"/>
        <w:right w:val="none" w:sz="0" w:space="0" w:color="auto"/>
      </w:divBdr>
    </w:div>
    <w:div w:id="92366183">
      <w:bodyDiv w:val="1"/>
      <w:marLeft w:val="0"/>
      <w:marRight w:val="0"/>
      <w:marTop w:val="0"/>
      <w:marBottom w:val="0"/>
      <w:divBdr>
        <w:top w:val="none" w:sz="0" w:space="0" w:color="auto"/>
        <w:left w:val="none" w:sz="0" w:space="0" w:color="auto"/>
        <w:bottom w:val="none" w:sz="0" w:space="0" w:color="auto"/>
        <w:right w:val="none" w:sz="0" w:space="0" w:color="auto"/>
      </w:divBdr>
    </w:div>
    <w:div w:id="252469957">
      <w:bodyDiv w:val="1"/>
      <w:marLeft w:val="0"/>
      <w:marRight w:val="0"/>
      <w:marTop w:val="0"/>
      <w:marBottom w:val="0"/>
      <w:divBdr>
        <w:top w:val="none" w:sz="0" w:space="0" w:color="auto"/>
        <w:left w:val="none" w:sz="0" w:space="0" w:color="auto"/>
        <w:bottom w:val="none" w:sz="0" w:space="0" w:color="auto"/>
        <w:right w:val="none" w:sz="0" w:space="0" w:color="auto"/>
      </w:divBdr>
    </w:div>
    <w:div w:id="264044873">
      <w:bodyDiv w:val="1"/>
      <w:marLeft w:val="0"/>
      <w:marRight w:val="0"/>
      <w:marTop w:val="0"/>
      <w:marBottom w:val="0"/>
      <w:divBdr>
        <w:top w:val="none" w:sz="0" w:space="0" w:color="auto"/>
        <w:left w:val="none" w:sz="0" w:space="0" w:color="auto"/>
        <w:bottom w:val="none" w:sz="0" w:space="0" w:color="auto"/>
        <w:right w:val="none" w:sz="0" w:space="0" w:color="auto"/>
      </w:divBdr>
    </w:div>
    <w:div w:id="273293632">
      <w:bodyDiv w:val="1"/>
      <w:marLeft w:val="0"/>
      <w:marRight w:val="0"/>
      <w:marTop w:val="0"/>
      <w:marBottom w:val="0"/>
      <w:divBdr>
        <w:top w:val="none" w:sz="0" w:space="0" w:color="auto"/>
        <w:left w:val="none" w:sz="0" w:space="0" w:color="auto"/>
        <w:bottom w:val="none" w:sz="0" w:space="0" w:color="auto"/>
        <w:right w:val="none" w:sz="0" w:space="0" w:color="auto"/>
      </w:divBdr>
    </w:div>
    <w:div w:id="292949174">
      <w:bodyDiv w:val="1"/>
      <w:marLeft w:val="0"/>
      <w:marRight w:val="0"/>
      <w:marTop w:val="0"/>
      <w:marBottom w:val="0"/>
      <w:divBdr>
        <w:top w:val="none" w:sz="0" w:space="0" w:color="auto"/>
        <w:left w:val="none" w:sz="0" w:space="0" w:color="auto"/>
        <w:bottom w:val="none" w:sz="0" w:space="0" w:color="auto"/>
        <w:right w:val="none" w:sz="0" w:space="0" w:color="auto"/>
      </w:divBdr>
    </w:div>
    <w:div w:id="304548973">
      <w:bodyDiv w:val="1"/>
      <w:marLeft w:val="0"/>
      <w:marRight w:val="0"/>
      <w:marTop w:val="0"/>
      <w:marBottom w:val="0"/>
      <w:divBdr>
        <w:top w:val="none" w:sz="0" w:space="0" w:color="auto"/>
        <w:left w:val="none" w:sz="0" w:space="0" w:color="auto"/>
        <w:bottom w:val="none" w:sz="0" w:space="0" w:color="auto"/>
        <w:right w:val="none" w:sz="0" w:space="0" w:color="auto"/>
      </w:divBdr>
    </w:div>
    <w:div w:id="317341787">
      <w:bodyDiv w:val="1"/>
      <w:marLeft w:val="0"/>
      <w:marRight w:val="0"/>
      <w:marTop w:val="0"/>
      <w:marBottom w:val="0"/>
      <w:divBdr>
        <w:top w:val="none" w:sz="0" w:space="0" w:color="auto"/>
        <w:left w:val="none" w:sz="0" w:space="0" w:color="auto"/>
        <w:bottom w:val="none" w:sz="0" w:space="0" w:color="auto"/>
        <w:right w:val="none" w:sz="0" w:space="0" w:color="auto"/>
      </w:divBdr>
    </w:div>
    <w:div w:id="325013627">
      <w:bodyDiv w:val="1"/>
      <w:marLeft w:val="0"/>
      <w:marRight w:val="0"/>
      <w:marTop w:val="0"/>
      <w:marBottom w:val="0"/>
      <w:divBdr>
        <w:top w:val="none" w:sz="0" w:space="0" w:color="auto"/>
        <w:left w:val="none" w:sz="0" w:space="0" w:color="auto"/>
        <w:bottom w:val="none" w:sz="0" w:space="0" w:color="auto"/>
        <w:right w:val="none" w:sz="0" w:space="0" w:color="auto"/>
      </w:divBdr>
    </w:div>
    <w:div w:id="328139097">
      <w:bodyDiv w:val="1"/>
      <w:marLeft w:val="0"/>
      <w:marRight w:val="0"/>
      <w:marTop w:val="0"/>
      <w:marBottom w:val="0"/>
      <w:divBdr>
        <w:top w:val="none" w:sz="0" w:space="0" w:color="auto"/>
        <w:left w:val="none" w:sz="0" w:space="0" w:color="auto"/>
        <w:bottom w:val="none" w:sz="0" w:space="0" w:color="auto"/>
        <w:right w:val="none" w:sz="0" w:space="0" w:color="auto"/>
      </w:divBdr>
    </w:div>
    <w:div w:id="355616178">
      <w:bodyDiv w:val="1"/>
      <w:marLeft w:val="0"/>
      <w:marRight w:val="0"/>
      <w:marTop w:val="0"/>
      <w:marBottom w:val="0"/>
      <w:divBdr>
        <w:top w:val="none" w:sz="0" w:space="0" w:color="auto"/>
        <w:left w:val="none" w:sz="0" w:space="0" w:color="auto"/>
        <w:bottom w:val="none" w:sz="0" w:space="0" w:color="auto"/>
        <w:right w:val="none" w:sz="0" w:space="0" w:color="auto"/>
      </w:divBdr>
    </w:div>
    <w:div w:id="484780981">
      <w:bodyDiv w:val="1"/>
      <w:marLeft w:val="0"/>
      <w:marRight w:val="0"/>
      <w:marTop w:val="0"/>
      <w:marBottom w:val="0"/>
      <w:divBdr>
        <w:top w:val="none" w:sz="0" w:space="0" w:color="auto"/>
        <w:left w:val="none" w:sz="0" w:space="0" w:color="auto"/>
        <w:bottom w:val="none" w:sz="0" w:space="0" w:color="auto"/>
        <w:right w:val="none" w:sz="0" w:space="0" w:color="auto"/>
      </w:divBdr>
    </w:div>
    <w:div w:id="513610099">
      <w:bodyDiv w:val="1"/>
      <w:marLeft w:val="0"/>
      <w:marRight w:val="0"/>
      <w:marTop w:val="0"/>
      <w:marBottom w:val="0"/>
      <w:divBdr>
        <w:top w:val="none" w:sz="0" w:space="0" w:color="auto"/>
        <w:left w:val="none" w:sz="0" w:space="0" w:color="auto"/>
        <w:bottom w:val="none" w:sz="0" w:space="0" w:color="auto"/>
        <w:right w:val="none" w:sz="0" w:space="0" w:color="auto"/>
      </w:divBdr>
    </w:div>
    <w:div w:id="517546485">
      <w:bodyDiv w:val="1"/>
      <w:marLeft w:val="0"/>
      <w:marRight w:val="0"/>
      <w:marTop w:val="0"/>
      <w:marBottom w:val="0"/>
      <w:divBdr>
        <w:top w:val="none" w:sz="0" w:space="0" w:color="auto"/>
        <w:left w:val="none" w:sz="0" w:space="0" w:color="auto"/>
        <w:bottom w:val="none" w:sz="0" w:space="0" w:color="auto"/>
        <w:right w:val="none" w:sz="0" w:space="0" w:color="auto"/>
      </w:divBdr>
    </w:div>
    <w:div w:id="540017930">
      <w:bodyDiv w:val="1"/>
      <w:marLeft w:val="0"/>
      <w:marRight w:val="0"/>
      <w:marTop w:val="0"/>
      <w:marBottom w:val="0"/>
      <w:divBdr>
        <w:top w:val="none" w:sz="0" w:space="0" w:color="auto"/>
        <w:left w:val="none" w:sz="0" w:space="0" w:color="auto"/>
        <w:bottom w:val="none" w:sz="0" w:space="0" w:color="auto"/>
        <w:right w:val="none" w:sz="0" w:space="0" w:color="auto"/>
      </w:divBdr>
    </w:div>
    <w:div w:id="584993421">
      <w:bodyDiv w:val="1"/>
      <w:marLeft w:val="0"/>
      <w:marRight w:val="0"/>
      <w:marTop w:val="0"/>
      <w:marBottom w:val="0"/>
      <w:divBdr>
        <w:top w:val="none" w:sz="0" w:space="0" w:color="auto"/>
        <w:left w:val="none" w:sz="0" w:space="0" w:color="auto"/>
        <w:bottom w:val="none" w:sz="0" w:space="0" w:color="auto"/>
        <w:right w:val="none" w:sz="0" w:space="0" w:color="auto"/>
      </w:divBdr>
    </w:div>
    <w:div w:id="588077408">
      <w:bodyDiv w:val="1"/>
      <w:marLeft w:val="0"/>
      <w:marRight w:val="0"/>
      <w:marTop w:val="0"/>
      <w:marBottom w:val="0"/>
      <w:divBdr>
        <w:top w:val="none" w:sz="0" w:space="0" w:color="auto"/>
        <w:left w:val="none" w:sz="0" w:space="0" w:color="auto"/>
        <w:bottom w:val="none" w:sz="0" w:space="0" w:color="auto"/>
        <w:right w:val="none" w:sz="0" w:space="0" w:color="auto"/>
      </w:divBdr>
    </w:div>
    <w:div w:id="612323376">
      <w:bodyDiv w:val="1"/>
      <w:marLeft w:val="0"/>
      <w:marRight w:val="0"/>
      <w:marTop w:val="0"/>
      <w:marBottom w:val="0"/>
      <w:divBdr>
        <w:top w:val="none" w:sz="0" w:space="0" w:color="auto"/>
        <w:left w:val="none" w:sz="0" w:space="0" w:color="auto"/>
        <w:bottom w:val="none" w:sz="0" w:space="0" w:color="auto"/>
        <w:right w:val="none" w:sz="0" w:space="0" w:color="auto"/>
      </w:divBdr>
    </w:div>
    <w:div w:id="615797907">
      <w:bodyDiv w:val="1"/>
      <w:marLeft w:val="0"/>
      <w:marRight w:val="0"/>
      <w:marTop w:val="0"/>
      <w:marBottom w:val="0"/>
      <w:divBdr>
        <w:top w:val="none" w:sz="0" w:space="0" w:color="auto"/>
        <w:left w:val="none" w:sz="0" w:space="0" w:color="auto"/>
        <w:bottom w:val="none" w:sz="0" w:space="0" w:color="auto"/>
        <w:right w:val="none" w:sz="0" w:space="0" w:color="auto"/>
      </w:divBdr>
    </w:div>
    <w:div w:id="647634592">
      <w:bodyDiv w:val="1"/>
      <w:marLeft w:val="0"/>
      <w:marRight w:val="0"/>
      <w:marTop w:val="0"/>
      <w:marBottom w:val="0"/>
      <w:divBdr>
        <w:top w:val="none" w:sz="0" w:space="0" w:color="auto"/>
        <w:left w:val="none" w:sz="0" w:space="0" w:color="auto"/>
        <w:bottom w:val="none" w:sz="0" w:space="0" w:color="auto"/>
        <w:right w:val="none" w:sz="0" w:space="0" w:color="auto"/>
      </w:divBdr>
    </w:div>
    <w:div w:id="737171280">
      <w:bodyDiv w:val="1"/>
      <w:marLeft w:val="0"/>
      <w:marRight w:val="0"/>
      <w:marTop w:val="0"/>
      <w:marBottom w:val="0"/>
      <w:divBdr>
        <w:top w:val="none" w:sz="0" w:space="0" w:color="auto"/>
        <w:left w:val="none" w:sz="0" w:space="0" w:color="auto"/>
        <w:bottom w:val="none" w:sz="0" w:space="0" w:color="auto"/>
        <w:right w:val="none" w:sz="0" w:space="0" w:color="auto"/>
      </w:divBdr>
    </w:div>
    <w:div w:id="773745241">
      <w:bodyDiv w:val="1"/>
      <w:marLeft w:val="0"/>
      <w:marRight w:val="0"/>
      <w:marTop w:val="0"/>
      <w:marBottom w:val="0"/>
      <w:divBdr>
        <w:top w:val="none" w:sz="0" w:space="0" w:color="auto"/>
        <w:left w:val="none" w:sz="0" w:space="0" w:color="auto"/>
        <w:bottom w:val="none" w:sz="0" w:space="0" w:color="auto"/>
        <w:right w:val="none" w:sz="0" w:space="0" w:color="auto"/>
      </w:divBdr>
    </w:div>
    <w:div w:id="786848011">
      <w:bodyDiv w:val="1"/>
      <w:marLeft w:val="0"/>
      <w:marRight w:val="0"/>
      <w:marTop w:val="0"/>
      <w:marBottom w:val="0"/>
      <w:divBdr>
        <w:top w:val="none" w:sz="0" w:space="0" w:color="auto"/>
        <w:left w:val="none" w:sz="0" w:space="0" w:color="auto"/>
        <w:bottom w:val="none" w:sz="0" w:space="0" w:color="auto"/>
        <w:right w:val="none" w:sz="0" w:space="0" w:color="auto"/>
      </w:divBdr>
    </w:div>
    <w:div w:id="787703730">
      <w:bodyDiv w:val="1"/>
      <w:marLeft w:val="0"/>
      <w:marRight w:val="0"/>
      <w:marTop w:val="0"/>
      <w:marBottom w:val="0"/>
      <w:divBdr>
        <w:top w:val="none" w:sz="0" w:space="0" w:color="auto"/>
        <w:left w:val="none" w:sz="0" w:space="0" w:color="auto"/>
        <w:bottom w:val="none" w:sz="0" w:space="0" w:color="auto"/>
        <w:right w:val="none" w:sz="0" w:space="0" w:color="auto"/>
      </w:divBdr>
    </w:div>
    <w:div w:id="850069023">
      <w:bodyDiv w:val="1"/>
      <w:marLeft w:val="0"/>
      <w:marRight w:val="0"/>
      <w:marTop w:val="0"/>
      <w:marBottom w:val="0"/>
      <w:divBdr>
        <w:top w:val="none" w:sz="0" w:space="0" w:color="auto"/>
        <w:left w:val="none" w:sz="0" w:space="0" w:color="auto"/>
        <w:bottom w:val="none" w:sz="0" w:space="0" w:color="auto"/>
        <w:right w:val="none" w:sz="0" w:space="0" w:color="auto"/>
      </w:divBdr>
    </w:div>
    <w:div w:id="859782422">
      <w:bodyDiv w:val="1"/>
      <w:marLeft w:val="0"/>
      <w:marRight w:val="0"/>
      <w:marTop w:val="0"/>
      <w:marBottom w:val="0"/>
      <w:divBdr>
        <w:top w:val="none" w:sz="0" w:space="0" w:color="auto"/>
        <w:left w:val="none" w:sz="0" w:space="0" w:color="auto"/>
        <w:bottom w:val="none" w:sz="0" w:space="0" w:color="auto"/>
        <w:right w:val="none" w:sz="0" w:space="0" w:color="auto"/>
      </w:divBdr>
    </w:div>
    <w:div w:id="870873477">
      <w:bodyDiv w:val="1"/>
      <w:marLeft w:val="0"/>
      <w:marRight w:val="0"/>
      <w:marTop w:val="0"/>
      <w:marBottom w:val="0"/>
      <w:divBdr>
        <w:top w:val="none" w:sz="0" w:space="0" w:color="auto"/>
        <w:left w:val="none" w:sz="0" w:space="0" w:color="auto"/>
        <w:bottom w:val="none" w:sz="0" w:space="0" w:color="auto"/>
        <w:right w:val="none" w:sz="0" w:space="0" w:color="auto"/>
      </w:divBdr>
    </w:div>
    <w:div w:id="907571576">
      <w:bodyDiv w:val="1"/>
      <w:marLeft w:val="0"/>
      <w:marRight w:val="0"/>
      <w:marTop w:val="0"/>
      <w:marBottom w:val="0"/>
      <w:divBdr>
        <w:top w:val="none" w:sz="0" w:space="0" w:color="auto"/>
        <w:left w:val="none" w:sz="0" w:space="0" w:color="auto"/>
        <w:bottom w:val="none" w:sz="0" w:space="0" w:color="auto"/>
        <w:right w:val="none" w:sz="0" w:space="0" w:color="auto"/>
      </w:divBdr>
    </w:div>
    <w:div w:id="953101354">
      <w:bodyDiv w:val="1"/>
      <w:marLeft w:val="0"/>
      <w:marRight w:val="0"/>
      <w:marTop w:val="0"/>
      <w:marBottom w:val="0"/>
      <w:divBdr>
        <w:top w:val="none" w:sz="0" w:space="0" w:color="auto"/>
        <w:left w:val="none" w:sz="0" w:space="0" w:color="auto"/>
        <w:bottom w:val="none" w:sz="0" w:space="0" w:color="auto"/>
        <w:right w:val="none" w:sz="0" w:space="0" w:color="auto"/>
      </w:divBdr>
    </w:div>
    <w:div w:id="993527670">
      <w:bodyDiv w:val="1"/>
      <w:marLeft w:val="0"/>
      <w:marRight w:val="0"/>
      <w:marTop w:val="0"/>
      <w:marBottom w:val="0"/>
      <w:divBdr>
        <w:top w:val="none" w:sz="0" w:space="0" w:color="auto"/>
        <w:left w:val="none" w:sz="0" w:space="0" w:color="auto"/>
        <w:bottom w:val="none" w:sz="0" w:space="0" w:color="auto"/>
        <w:right w:val="none" w:sz="0" w:space="0" w:color="auto"/>
      </w:divBdr>
    </w:div>
    <w:div w:id="1007362724">
      <w:bodyDiv w:val="1"/>
      <w:marLeft w:val="0"/>
      <w:marRight w:val="0"/>
      <w:marTop w:val="0"/>
      <w:marBottom w:val="0"/>
      <w:divBdr>
        <w:top w:val="none" w:sz="0" w:space="0" w:color="auto"/>
        <w:left w:val="none" w:sz="0" w:space="0" w:color="auto"/>
        <w:bottom w:val="none" w:sz="0" w:space="0" w:color="auto"/>
        <w:right w:val="none" w:sz="0" w:space="0" w:color="auto"/>
      </w:divBdr>
    </w:div>
    <w:div w:id="1030448290">
      <w:bodyDiv w:val="1"/>
      <w:marLeft w:val="0"/>
      <w:marRight w:val="0"/>
      <w:marTop w:val="0"/>
      <w:marBottom w:val="0"/>
      <w:divBdr>
        <w:top w:val="none" w:sz="0" w:space="0" w:color="auto"/>
        <w:left w:val="none" w:sz="0" w:space="0" w:color="auto"/>
        <w:bottom w:val="none" w:sz="0" w:space="0" w:color="auto"/>
        <w:right w:val="none" w:sz="0" w:space="0" w:color="auto"/>
      </w:divBdr>
    </w:div>
    <w:div w:id="1051810421">
      <w:bodyDiv w:val="1"/>
      <w:marLeft w:val="0"/>
      <w:marRight w:val="0"/>
      <w:marTop w:val="0"/>
      <w:marBottom w:val="0"/>
      <w:divBdr>
        <w:top w:val="none" w:sz="0" w:space="0" w:color="auto"/>
        <w:left w:val="none" w:sz="0" w:space="0" w:color="auto"/>
        <w:bottom w:val="none" w:sz="0" w:space="0" w:color="auto"/>
        <w:right w:val="none" w:sz="0" w:space="0" w:color="auto"/>
      </w:divBdr>
    </w:div>
    <w:div w:id="1074425545">
      <w:bodyDiv w:val="1"/>
      <w:marLeft w:val="0"/>
      <w:marRight w:val="0"/>
      <w:marTop w:val="0"/>
      <w:marBottom w:val="0"/>
      <w:divBdr>
        <w:top w:val="none" w:sz="0" w:space="0" w:color="auto"/>
        <w:left w:val="none" w:sz="0" w:space="0" w:color="auto"/>
        <w:bottom w:val="none" w:sz="0" w:space="0" w:color="auto"/>
        <w:right w:val="none" w:sz="0" w:space="0" w:color="auto"/>
      </w:divBdr>
    </w:div>
    <w:div w:id="1090003910">
      <w:bodyDiv w:val="1"/>
      <w:marLeft w:val="0"/>
      <w:marRight w:val="0"/>
      <w:marTop w:val="0"/>
      <w:marBottom w:val="0"/>
      <w:divBdr>
        <w:top w:val="none" w:sz="0" w:space="0" w:color="auto"/>
        <w:left w:val="none" w:sz="0" w:space="0" w:color="auto"/>
        <w:bottom w:val="none" w:sz="0" w:space="0" w:color="auto"/>
        <w:right w:val="none" w:sz="0" w:space="0" w:color="auto"/>
      </w:divBdr>
    </w:div>
    <w:div w:id="1137987441">
      <w:bodyDiv w:val="1"/>
      <w:marLeft w:val="0"/>
      <w:marRight w:val="0"/>
      <w:marTop w:val="0"/>
      <w:marBottom w:val="0"/>
      <w:divBdr>
        <w:top w:val="none" w:sz="0" w:space="0" w:color="auto"/>
        <w:left w:val="none" w:sz="0" w:space="0" w:color="auto"/>
        <w:bottom w:val="none" w:sz="0" w:space="0" w:color="auto"/>
        <w:right w:val="none" w:sz="0" w:space="0" w:color="auto"/>
      </w:divBdr>
    </w:div>
    <w:div w:id="1155417527">
      <w:bodyDiv w:val="1"/>
      <w:marLeft w:val="0"/>
      <w:marRight w:val="0"/>
      <w:marTop w:val="0"/>
      <w:marBottom w:val="0"/>
      <w:divBdr>
        <w:top w:val="none" w:sz="0" w:space="0" w:color="auto"/>
        <w:left w:val="none" w:sz="0" w:space="0" w:color="auto"/>
        <w:bottom w:val="none" w:sz="0" w:space="0" w:color="auto"/>
        <w:right w:val="none" w:sz="0" w:space="0" w:color="auto"/>
      </w:divBdr>
    </w:div>
    <w:div w:id="1199928981">
      <w:bodyDiv w:val="1"/>
      <w:marLeft w:val="0"/>
      <w:marRight w:val="0"/>
      <w:marTop w:val="0"/>
      <w:marBottom w:val="0"/>
      <w:divBdr>
        <w:top w:val="none" w:sz="0" w:space="0" w:color="auto"/>
        <w:left w:val="none" w:sz="0" w:space="0" w:color="auto"/>
        <w:bottom w:val="none" w:sz="0" w:space="0" w:color="auto"/>
        <w:right w:val="none" w:sz="0" w:space="0" w:color="auto"/>
      </w:divBdr>
    </w:div>
    <w:div w:id="1285848208">
      <w:bodyDiv w:val="1"/>
      <w:marLeft w:val="0"/>
      <w:marRight w:val="0"/>
      <w:marTop w:val="0"/>
      <w:marBottom w:val="0"/>
      <w:divBdr>
        <w:top w:val="none" w:sz="0" w:space="0" w:color="auto"/>
        <w:left w:val="none" w:sz="0" w:space="0" w:color="auto"/>
        <w:bottom w:val="none" w:sz="0" w:space="0" w:color="auto"/>
        <w:right w:val="none" w:sz="0" w:space="0" w:color="auto"/>
      </w:divBdr>
    </w:div>
    <w:div w:id="1305431268">
      <w:bodyDiv w:val="1"/>
      <w:marLeft w:val="0"/>
      <w:marRight w:val="0"/>
      <w:marTop w:val="0"/>
      <w:marBottom w:val="0"/>
      <w:divBdr>
        <w:top w:val="none" w:sz="0" w:space="0" w:color="auto"/>
        <w:left w:val="none" w:sz="0" w:space="0" w:color="auto"/>
        <w:bottom w:val="none" w:sz="0" w:space="0" w:color="auto"/>
        <w:right w:val="none" w:sz="0" w:space="0" w:color="auto"/>
      </w:divBdr>
    </w:div>
    <w:div w:id="1308828058">
      <w:bodyDiv w:val="1"/>
      <w:marLeft w:val="0"/>
      <w:marRight w:val="0"/>
      <w:marTop w:val="0"/>
      <w:marBottom w:val="0"/>
      <w:divBdr>
        <w:top w:val="none" w:sz="0" w:space="0" w:color="auto"/>
        <w:left w:val="none" w:sz="0" w:space="0" w:color="auto"/>
        <w:bottom w:val="none" w:sz="0" w:space="0" w:color="auto"/>
        <w:right w:val="none" w:sz="0" w:space="0" w:color="auto"/>
      </w:divBdr>
    </w:div>
    <w:div w:id="1347173101">
      <w:bodyDiv w:val="1"/>
      <w:marLeft w:val="0"/>
      <w:marRight w:val="0"/>
      <w:marTop w:val="0"/>
      <w:marBottom w:val="0"/>
      <w:divBdr>
        <w:top w:val="none" w:sz="0" w:space="0" w:color="auto"/>
        <w:left w:val="none" w:sz="0" w:space="0" w:color="auto"/>
        <w:bottom w:val="none" w:sz="0" w:space="0" w:color="auto"/>
        <w:right w:val="none" w:sz="0" w:space="0" w:color="auto"/>
      </w:divBdr>
    </w:div>
    <w:div w:id="1391491198">
      <w:bodyDiv w:val="1"/>
      <w:marLeft w:val="0"/>
      <w:marRight w:val="0"/>
      <w:marTop w:val="0"/>
      <w:marBottom w:val="0"/>
      <w:divBdr>
        <w:top w:val="none" w:sz="0" w:space="0" w:color="auto"/>
        <w:left w:val="none" w:sz="0" w:space="0" w:color="auto"/>
        <w:bottom w:val="none" w:sz="0" w:space="0" w:color="auto"/>
        <w:right w:val="none" w:sz="0" w:space="0" w:color="auto"/>
      </w:divBdr>
    </w:div>
    <w:div w:id="1408073017">
      <w:bodyDiv w:val="1"/>
      <w:marLeft w:val="0"/>
      <w:marRight w:val="0"/>
      <w:marTop w:val="0"/>
      <w:marBottom w:val="0"/>
      <w:divBdr>
        <w:top w:val="none" w:sz="0" w:space="0" w:color="auto"/>
        <w:left w:val="none" w:sz="0" w:space="0" w:color="auto"/>
        <w:bottom w:val="none" w:sz="0" w:space="0" w:color="auto"/>
        <w:right w:val="none" w:sz="0" w:space="0" w:color="auto"/>
      </w:divBdr>
    </w:div>
    <w:div w:id="1424687460">
      <w:bodyDiv w:val="1"/>
      <w:marLeft w:val="0"/>
      <w:marRight w:val="0"/>
      <w:marTop w:val="0"/>
      <w:marBottom w:val="0"/>
      <w:divBdr>
        <w:top w:val="none" w:sz="0" w:space="0" w:color="auto"/>
        <w:left w:val="none" w:sz="0" w:space="0" w:color="auto"/>
        <w:bottom w:val="none" w:sz="0" w:space="0" w:color="auto"/>
        <w:right w:val="none" w:sz="0" w:space="0" w:color="auto"/>
      </w:divBdr>
    </w:div>
    <w:div w:id="1426340212">
      <w:bodyDiv w:val="1"/>
      <w:marLeft w:val="0"/>
      <w:marRight w:val="0"/>
      <w:marTop w:val="0"/>
      <w:marBottom w:val="0"/>
      <w:divBdr>
        <w:top w:val="none" w:sz="0" w:space="0" w:color="auto"/>
        <w:left w:val="none" w:sz="0" w:space="0" w:color="auto"/>
        <w:bottom w:val="none" w:sz="0" w:space="0" w:color="auto"/>
        <w:right w:val="none" w:sz="0" w:space="0" w:color="auto"/>
      </w:divBdr>
    </w:div>
    <w:div w:id="1439518784">
      <w:bodyDiv w:val="1"/>
      <w:marLeft w:val="0"/>
      <w:marRight w:val="0"/>
      <w:marTop w:val="0"/>
      <w:marBottom w:val="0"/>
      <w:divBdr>
        <w:top w:val="none" w:sz="0" w:space="0" w:color="auto"/>
        <w:left w:val="none" w:sz="0" w:space="0" w:color="auto"/>
        <w:bottom w:val="none" w:sz="0" w:space="0" w:color="auto"/>
        <w:right w:val="none" w:sz="0" w:space="0" w:color="auto"/>
      </w:divBdr>
    </w:div>
    <w:div w:id="1477988985">
      <w:bodyDiv w:val="1"/>
      <w:marLeft w:val="0"/>
      <w:marRight w:val="0"/>
      <w:marTop w:val="0"/>
      <w:marBottom w:val="0"/>
      <w:divBdr>
        <w:top w:val="none" w:sz="0" w:space="0" w:color="auto"/>
        <w:left w:val="none" w:sz="0" w:space="0" w:color="auto"/>
        <w:bottom w:val="none" w:sz="0" w:space="0" w:color="auto"/>
        <w:right w:val="none" w:sz="0" w:space="0" w:color="auto"/>
      </w:divBdr>
    </w:div>
    <w:div w:id="1579172461">
      <w:bodyDiv w:val="1"/>
      <w:marLeft w:val="0"/>
      <w:marRight w:val="0"/>
      <w:marTop w:val="0"/>
      <w:marBottom w:val="0"/>
      <w:divBdr>
        <w:top w:val="none" w:sz="0" w:space="0" w:color="auto"/>
        <w:left w:val="none" w:sz="0" w:space="0" w:color="auto"/>
        <w:bottom w:val="none" w:sz="0" w:space="0" w:color="auto"/>
        <w:right w:val="none" w:sz="0" w:space="0" w:color="auto"/>
      </w:divBdr>
    </w:div>
    <w:div w:id="1621188120">
      <w:bodyDiv w:val="1"/>
      <w:marLeft w:val="0"/>
      <w:marRight w:val="0"/>
      <w:marTop w:val="0"/>
      <w:marBottom w:val="0"/>
      <w:divBdr>
        <w:top w:val="none" w:sz="0" w:space="0" w:color="auto"/>
        <w:left w:val="none" w:sz="0" w:space="0" w:color="auto"/>
        <w:bottom w:val="none" w:sz="0" w:space="0" w:color="auto"/>
        <w:right w:val="none" w:sz="0" w:space="0" w:color="auto"/>
      </w:divBdr>
    </w:div>
    <w:div w:id="1662198626">
      <w:bodyDiv w:val="1"/>
      <w:marLeft w:val="0"/>
      <w:marRight w:val="0"/>
      <w:marTop w:val="0"/>
      <w:marBottom w:val="0"/>
      <w:divBdr>
        <w:top w:val="none" w:sz="0" w:space="0" w:color="auto"/>
        <w:left w:val="none" w:sz="0" w:space="0" w:color="auto"/>
        <w:bottom w:val="none" w:sz="0" w:space="0" w:color="auto"/>
        <w:right w:val="none" w:sz="0" w:space="0" w:color="auto"/>
      </w:divBdr>
    </w:div>
    <w:div w:id="1663774793">
      <w:bodyDiv w:val="1"/>
      <w:marLeft w:val="0"/>
      <w:marRight w:val="0"/>
      <w:marTop w:val="0"/>
      <w:marBottom w:val="0"/>
      <w:divBdr>
        <w:top w:val="none" w:sz="0" w:space="0" w:color="auto"/>
        <w:left w:val="none" w:sz="0" w:space="0" w:color="auto"/>
        <w:bottom w:val="none" w:sz="0" w:space="0" w:color="auto"/>
        <w:right w:val="none" w:sz="0" w:space="0" w:color="auto"/>
      </w:divBdr>
    </w:div>
    <w:div w:id="1737976245">
      <w:bodyDiv w:val="1"/>
      <w:marLeft w:val="0"/>
      <w:marRight w:val="0"/>
      <w:marTop w:val="0"/>
      <w:marBottom w:val="0"/>
      <w:divBdr>
        <w:top w:val="none" w:sz="0" w:space="0" w:color="auto"/>
        <w:left w:val="none" w:sz="0" w:space="0" w:color="auto"/>
        <w:bottom w:val="none" w:sz="0" w:space="0" w:color="auto"/>
        <w:right w:val="none" w:sz="0" w:space="0" w:color="auto"/>
      </w:divBdr>
    </w:div>
    <w:div w:id="1766732374">
      <w:bodyDiv w:val="1"/>
      <w:marLeft w:val="0"/>
      <w:marRight w:val="0"/>
      <w:marTop w:val="0"/>
      <w:marBottom w:val="0"/>
      <w:divBdr>
        <w:top w:val="none" w:sz="0" w:space="0" w:color="auto"/>
        <w:left w:val="none" w:sz="0" w:space="0" w:color="auto"/>
        <w:bottom w:val="none" w:sz="0" w:space="0" w:color="auto"/>
        <w:right w:val="none" w:sz="0" w:space="0" w:color="auto"/>
      </w:divBdr>
    </w:div>
    <w:div w:id="1779135511">
      <w:bodyDiv w:val="1"/>
      <w:marLeft w:val="0"/>
      <w:marRight w:val="0"/>
      <w:marTop w:val="0"/>
      <w:marBottom w:val="0"/>
      <w:divBdr>
        <w:top w:val="none" w:sz="0" w:space="0" w:color="auto"/>
        <w:left w:val="none" w:sz="0" w:space="0" w:color="auto"/>
        <w:bottom w:val="none" w:sz="0" w:space="0" w:color="auto"/>
        <w:right w:val="none" w:sz="0" w:space="0" w:color="auto"/>
      </w:divBdr>
    </w:div>
    <w:div w:id="1843466343">
      <w:bodyDiv w:val="1"/>
      <w:marLeft w:val="0"/>
      <w:marRight w:val="0"/>
      <w:marTop w:val="0"/>
      <w:marBottom w:val="0"/>
      <w:divBdr>
        <w:top w:val="none" w:sz="0" w:space="0" w:color="auto"/>
        <w:left w:val="none" w:sz="0" w:space="0" w:color="auto"/>
        <w:bottom w:val="none" w:sz="0" w:space="0" w:color="auto"/>
        <w:right w:val="none" w:sz="0" w:space="0" w:color="auto"/>
      </w:divBdr>
    </w:div>
    <w:div w:id="1851261906">
      <w:bodyDiv w:val="1"/>
      <w:marLeft w:val="0"/>
      <w:marRight w:val="0"/>
      <w:marTop w:val="0"/>
      <w:marBottom w:val="0"/>
      <w:divBdr>
        <w:top w:val="none" w:sz="0" w:space="0" w:color="auto"/>
        <w:left w:val="none" w:sz="0" w:space="0" w:color="auto"/>
        <w:bottom w:val="none" w:sz="0" w:space="0" w:color="auto"/>
        <w:right w:val="none" w:sz="0" w:space="0" w:color="auto"/>
      </w:divBdr>
    </w:div>
    <w:div w:id="1870987973">
      <w:bodyDiv w:val="1"/>
      <w:marLeft w:val="0"/>
      <w:marRight w:val="0"/>
      <w:marTop w:val="0"/>
      <w:marBottom w:val="0"/>
      <w:divBdr>
        <w:top w:val="none" w:sz="0" w:space="0" w:color="auto"/>
        <w:left w:val="none" w:sz="0" w:space="0" w:color="auto"/>
        <w:bottom w:val="none" w:sz="0" w:space="0" w:color="auto"/>
        <w:right w:val="none" w:sz="0" w:space="0" w:color="auto"/>
      </w:divBdr>
    </w:div>
    <w:div w:id="1880315815">
      <w:bodyDiv w:val="1"/>
      <w:marLeft w:val="0"/>
      <w:marRight w:val="0"/>
      <w:marTop w:val="0"/>
      <w:marBottom w:val="0"/>
      <w:divBdr>
        <w:top w:val="none" w:sz="0" w:space="0" w:color="auto"/>
        <w:left w:val="none" w:sz="0" w:space="0" w:color="auto"/>
        <w:bottom w:val="none" w:sz="0" w:space="0" w:color="auto"/>
        <w:right w:val="none" w:sz="0" w:space="0" w:color="auto"/>
      </w:divBdr>
    </w:div>
    <w:div w:id="1927687814">
      <w:bodyDiv w:val="1"/>
      <w:marLeft w:val="0"/>
      <w:marRight w:val="0"/>
      <w:marTop w:val="0"/>
      <w:marBottom w:val="0"/>
      <w:divBdr>
        <w:top w:val="none" w:sz="0" w:space="0" w:color="auto"/>
        <w:left w:val="none" w:sz="0" w:space="0" w:color="auto"/>
        <w:bottom w:val="none" w:sz="0" w:space="0" w:color="auto"/>
        <w:right w:val="none" w:sz="0" w:space="0" w:color="auto"/>
      </w:divBdr>
    </w:div>
    <w:div w:id="1938976509">
      <w:bodyDiv w:val="1"/>
      <w:marLeft w:val="0"/>
      <w:marRight w:val="0"/>
      <w:marTop w:val="0"/>
      <w:marBottom w:val="0"/>
      <w:divBdr>
        <w:top w:val="none" w:sz="0" w:space="0" w:color="auto"/>
        <w:left w:val="none" w:sz="0" w:space="0" w:color="auto"/>
        <w:bottom w:val="none" w:sz="0" w:space="0" w:color="auto"/>
        <w:right w:val="none" w:sz="0" w:space="0" w:color="auto"/>
      </w:divBdr>
    </w:div>
    <w:div w:id="1944916495">
      <w:bodyDiv w:val="1"/>
      <w:marLeft w:val="0"/>
      <w:marRight w:val="0"/>
      <w:marTop w:val="0"/>
      <w:marBottom w:val="0"/>
      <w:divBdr>
        <w:top w:val="none" w:sz="0" w:space="0" w:color="auto"/>
        <w:left w:val="none" w:sz="0" w:space="0" w:color="auto"/>
        <w:bottom w:val="none" w:sz="0" w:space="0" w:color="auto"/>
        <w:right w:val="none" w:sz="0" w:space="0" w:color="auto"/>
      </w:divBdr>
    </w:div>
    <w:div w:id="1973707420">
      <w:bodyDiv w:val="1"/>
      <w:marLeft w:val="0"/>
      <w:marRight w:val="0"/>
      <w:marTop w:val="0"/>
      <w:marBottom w:val="0"/>
      <w:divBdr>
        <w:top w:val="none" w:sz="0" w:space="0" w:color="auto"/>
        <w:left w:val="none" w:sz="0" w:space="0" w:color="auto"/>
        <w:bottom w:val="none" w:sz="0" w:space="0" w:color="auto"/>
        <w:right w:val="none" w:sz="0" w:space="0" w:color="auto"/>
      </w:divBdr>
    </w:div>
    <w:div w:id="2066482934">
      <w:bodyDiv w:val="1"/>
      <w:marLeft w:val="0"/>
      <w:marRight w:val="0"/>
      <w:marTop w:val="0"/>
      <w:marBottom w:val="0"/>
      <w:divBdr>
        <w:top w:val="none" w:sz="0" w:space="0" w:color="auto"/>
        <w:left w:val="none" w:sz="0" w:space="0" w:color="auto"/>
        <w:bottom w:val="none" w:sz="0" w:space="0" w:color="auto"/>
        <w:right w:val="none" w:sz="0" w:space="0" w:color="auto"/>
      </w:divBdr>
    </w:div>
    <w:div w:id="2074235390">
      <w:bodyDiv w:val="1"/>
      <w:marLeft w:val="0"/>
      <w:marRight w:val="0"/>
      <w:marTop w:val="0"/>
      <w:marBottom w:val="0"/>
      <w:divBdr>
        <w:top w:val="none" w:sz="0" w:space="0" w:color="auto"/>
        <w:left w:val="none" w:sz="0" w:space="0" w:color="auto"/>
        <w:bottom w:val="none" w:sz="0" w:space="0" w:color="auto"/>
        <w:right w:val="none" w:sz="0" w:space="0" w:color="auto"/>
      </w:divBdr>
    </w:div>
    <w:div w:id="21337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hPercent val="39"/>
      <c:rotY val="20"/>
      <c:depthPercent val="100"/>
      <c:rAngAx val="1"/>
    </c:view3D>
    <c:floor>
      <c:thickness val="0"/>
    </c:floor>
    <c:sideWall>
      <c:thickness val="0"/>
    </c:sideWall>
    <c:backWall>
      <c:thickness val="0"/>
    </c:backWall>
    <c:plotArea>
      <c:layout>
        <c:manualLayout>
          <c:layoutTarget val="inner"/>
          <c:xMode val="edge"/>
          <c:yMode val="edge"/>
          <c:x val="4.8739495798319384E-2"/>
          <c:y val="4.2813455657492533E-2"/>
          <c:w val="0.89411764705882879"/>
          <c:h val="0.56880733944954165"/>
        </c:manualLayout>
      </c:layout>
      <c:bar3DChart>
        <c:barDir val="col"/>
        <c:grouping val="clustered"/>
        <c:varyColors val="0"/>
        <c:ser>
          <c:idx val="0"/>
          <c:order val="0"/>
          <c:tx>
            <c:strRef>
              <c:f>Sheet1!$A$2</c:f>
              <c:strCache>
                <c:ptCount val="1"/>
                <c:pt idx="0">
                  <c:v>Suma dlhu</c:v>
                </c:pt>
              </c:strCache>
            </c:strRef>
          </c:tx>
          <c:spPr>
            <a:pattFill prst="pct80">
              <a:fgClr>
                <a:schemeClr val="accent1"/>
              </a:fgClr>
              <a:bgClr>
                <a:schemeClr val="bg1"/>
              </a:bgClr>
            </a:pattFill>
          </c:spPr>
          <c:invertIfNegative val="0"/>
          <c:dLbls>
            <c:dLbl>
              <c:idx val="0"/>
              <c:layout>
                <c:manualLayout>
                  <c:x val="2.8490857247495227E-2"/>
                  <c:y val="-4.0225235003519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2C-49D0-AB98-BFB857C66146}"/>
                </c:ext>
              </c:extLst>
            </c:dLbl>
            <c:dLbl>
              <c:idx val="1"/>
              <c:layout>
                <c:manualLayout>
                  <c:x val="1.2790261682405978E-2"/>
                  <c:y val="-4.6512343851755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2C-49D0-AB98-BFB857C66146}"/>
                </c:ext>
              </c:extLst>
            </c:dLbl>
            <c:dLbl>
              <c:idx val="2"/>
              <c:layout>
                <c:manualLayout>
                  <c:x val="1.0000784785622727E-2"/>
                  <c:y val="-7.8002618093790943E-2"/>
                </c:manualLayout>
              </c:layout>
              <c:tx>
                <c:rich>
                  <a:bodyPr/>
                  <a:lstStyle/>
                  <a:p>
                    <a:r>
                      <a:rPr lang="en-US" sz="1000" b="0" i="0" u="none" strike="noStrike" baseline="0">
                        <a:effectLst/>
                      </a:rPr>
                      <a:t>22,06</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2C-49D0-AB98-BFB857C66146}"/>
                </c:ext>
              </c:extLst>
            </c:dLbl>
            <c:dLbl>
              <c:idx val="3"/>
              <c:layout>
                <c:manualLayout>
                  <c:x val="8.3443639312527802E-3"/>
                  <c:y val="-1.9494931554608307E-2"/>
                </c:manualLayout>
              </c:layout>
              <c:tx>
                <c:rich>
                  <a:bodyPr/>
                  <a:lstStyle/>
                  <a:p>
                    <a:r>
                      <a:rPr lang="en-US" sz="1000" b="0" i="0" u="none" strike="noStrike" baseline="0">
                        <a:effectLst/>
                      </a:rPr>
                      <a:t>33,50</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2C-49D0-AB98-BFB857C66146}"/>
                </c:ext>
              </c:extLst>
            </c:dLbl>
            <c:dLbl>
              <c:idx val="4"/>
              <c:layout>
                <c:manualLayout>
                  <c:x val="5.5681411916533689E-3"/>
                  <c:y val="-4.9409350147021129E-2"/>
                </c:manualLayout>
              </c:layout>
              <c:tx>
                <c:rich>
                  <a:bodyPr wrap="square" lIns="38100" tIns="19050" rIns="38100" bIns="19050" anchor="ctr">
                    <a:noAutofit/>
                  </a:bodyPr>
                  <a:lstStyle/>
                  <a:p>
                    <a:pPr>
                      <a:defRPr/>
                    </a:pPr>
                    <a:r>
                      <a:rPr lang="en-US" sz="1000" b="0" i="0" u="none" strike="noStrike" baseline="0">
                        <a:effectLst/>
                      </a:rPr>
                      <a:t>30,88</a:t>
                    </a:r>
                    <a:endParaRPr lang="en-US" b="0"/>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3732091628081369E-2"/>
                      <c:h val="3.0760365480630714E-2"/>
                    </c:manualLayout>
                  </c15:layout>
                </c:ext>
                <c:ext xmlns:c16="http://schemas.microsoft.com/office/drawing/2014/chart" uri="{C3380CC4-5D6E-409C-BE32-E72D297353CC}">
                  <c16:uniqueId val="{00000004-FB2C-49D0-AB98-BFB857C661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c:v>
                </c:pt>
                <c:pt idx="1">
                  <c:v>2023</c:v>
                </c:pt>
                <c:pt idx="2">
                  <c:v>2024*</c:v>
                </c:pt>
                <c:pt idx="3">
                  <c:v>2025*</c:v>
                </c:pt>
                <c:pt idx="4">
                  <c:v>2026*</c:v>
                </c:pt>
              </c:strCache>
            </c:strRef>
          </c:cat>
          <c:val>
            <c:numRef>
              <c:f>Sheet1!$B$2:$F$2</c:f>
              <c:numCache>
                <c:formatCode>General</c:formatCode>
                <c:ptCount val="5"/>
                <c:pt idx="0">
                  <c:v>25.38</c:v>
                </c:pt>
                <c:pt idx="1">
                  <c:v>24.32</c:v>
                </c:pt>
                <c:pt idx="2">
                  <c:v>22.06</c:v>
                </c:pt>
                <c:pt idx="3">
                  <c:v>33.5</c:v>
                </c:pt>
                <c:pt idx="4">
                  <c:v>30.91</c:v>
                </c:pt>
              </c:numCache>
            </c:numRef>
          </c:val>
          <c:shape val="cylinder"/>
          <c:extLst>
            <c:ext xmlns:c16="http://schemas.microsoft.com/office/drawing/2014/chart" uri="{C3380CC4-5D6E-409C-BE32-E72D297353CC}">
              <c16:uniqueId val="{00000005-FB2C-49D0-AB98-BFB857C66146}"/>
            </c:ext>
          </c:extLst>
        </c:ser>
        <c:ser>
          <c:idx val="1"/>
          <c:order val="1"/>
          <c:tx>
            <c:strRef>
              <c:f>Sheet1!$A$3</c:f>
              <c:strCache>
                <c:ptCount val="1"/>
                <c:pt idx="0">
                  <c:v>Suma ročných splátok</c:v>
                </c:pt>
              </c:strCache>
            </c:strRef>
          </c:tx>
          <c:spPr>
            <a:pattFill prst="wdUpDiag">
              <a:fgClr>
                <a:schemeClr val="accent1"/>
              </a:fgClr>
              <a:bgClr>
                <a:schemeClr val="bg1"/>
              </a:bgClr>
            </a:pattFill>
          </c:spPr>
          <c:invertIfNegative val="0"/>
          <c:dLbls>
            <c:dLbl>
              <c:idx val="0"/>
              <c:layout>
                <c:manualLayout>
                  <c:x val="2.9175108241428851E-2"/>
                  <c:y val="-4.1615545477389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2C-49D0-AB98-BFB857C66146}"/>
                </c:ext>
              </c:extLst>
            </c:dLbl>
            <c:dLbl>
              <c:idx val="1"/>
              <c:layout>
                <c:manualLayout>
                  <c:x val="2.1343481175660241E-2"/>
                  <c:y val="-5.5162456638038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2C-49D0-AB98-BFB857C66146}"/>
                </c:ext>
              </c:extLst>
            </c:dLbl>
            <c:dLbl>
              <c:idx val="2"/>
              <c:layout>
                <c:manualLayout>
                  <c:x val="2.86380789268652E-2"/>
                  <c:y val="-5.6956310891542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B2C-49D0-AB98-BFB857C66146}"/>
                </c:ext>
              </c:extLst>
            </c:dLbl>
            <c:dLbl>
              <c:idx val="3"/>
              <c:layout>
                <c:manualLayout>
                  <c:x val="2.7529315333531413E-2"/>
                  <c:y val="-5.3935811041342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2C-49D0-AB98-BFB857C66146}"/>
                </c:ext>
              </c:extLst>
            </c:dLbl>
            <c:dLbl>
              <c:idx val="4"/>
              <c:layout>
                <c:manualLayout>
                  <c:x val="1.6336518126752481E-2"/>
                  <c:y val="-2.1484456930565037E-2"/>
                </c:manualLayout>
              </c:layout>
              <c:tx>
                <c:rich>
                  <a:bodyPr/>
                  <a:lstStyle/>
                  <a:p>
                    <a:r>
                      <a:rPr lang="en-US"/>
                      <a:t>10,18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B2C-49D0-AB98-BFB857C661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c:v>
                </c:pt>
                <c:pt idx="1">
                  <c:v>2023</c:v>
                </c:pt>
                <c:pt idx="2">
                  <c:v>2024*</c:v>
                </c:pt>
                <c:pt idx="3">
                  <c:v>2025*</c:v>
                </c:pt>
                <c:pt idx="4">
                  <c:v>2026*</c:v>
                </c:pt>
              </c:strCache>
            </c:strRef>
          </c:cat>
          <c:val>
            <c:numRef>
              <c:f>Sheet1!$B$3:$F$3</c:f>
              <c:numCache>
                <c:formatCode>General</c:formatCode>
                <c:ptCount val="5"/>
                <c:pt idx="0">
                  <c:v>20.51</c:v>
                </c:pt>
                <c:pt idx="1">
                  <c:v>10</c:v>
                </c:pt>
                <c:pt idx="2">
                  <c:v>7.3</c:v>
                </c:pt>
                <c:pt idx="3">
                  <c:v>8.18</c:v>
                </c:pt>
                <c:pt idx="4">
                  <c:v>10.199999999999999</c:v>
                </c:pt>
              </c:numCache>
            </c:numRef>
          </c:val>
          <c:shape val="cylinder"/>
          <c:extLst>
            <c:ext xmlns:c16="http://schemas.microsoft.com/office/drawing/2014/chart" uri="{C3380CC4-5D6E-409C-BE32-E72D297353CC}">
              <c16:uniqueId val="{0000000B-FB2C-49D0-AB98-BFB857C66146}"/>
            </c:ext>
          </c:extLst>
        </c:ser>
        <c:dLbls>
          <c:showLegendKey val="0"/>
          <c:showVal val="1"/>
          <c:showCatName val="0"/>
          <c:showSerName val="0"/>
          <c:showPercent val="0"/>
          <c:showBubbleSize val="0"/>
        </c:dLbls>
        <c:gapWidth val="150"/>
        <c:gapDepth val="0"/>
        <c:shape val="box"/>
        <c:axId val="314585088"/>
        <c:axId val="314586624"/>
        <c:axId val="0"/>
      </c:bar3DChart>
      <c:catAx>
        <c:axId val="314585088"/>
        <c:scaling>
          <c:orientation val="minMax"/>
        </c:scaling>
        <c:delete val="0"/>
        <c:axPos val="b"/>
        <c:numFmt formatCode="General" sourceLinked="1"/>
        <c:majorTickMark val="out"/>
        <c:minorTickMark val="none"/>
        <c:tickLblPos val="low"/>
        <c:txPr>
          <a:bodyPr rot="0" vert="horz"/>
          <a:lstStyle/>
          <a:p>
            <a:pPr>
              <a:defRPr/>
            </a:pPr>
            <a:endParaRPr lang="sk-SK"/>
          </a:p>
        </c:txPr>
        <c:crossAx val="314586624"/>
        <c:crosses val="autoZero"/>
        <c:auto val="1"/>
        <c:lblAlgn val="ctr"/>
        <c:lblOffset val="100"/>
        <c:tickLblSkip val="1"/>
        <c:tickMarkSkip val="1"/>
        <c:noMultiLvlLbl val="0"/>
      </c:catAx>
      <c:valAx>
        <c:axId val="314586624"/>
        <c:scaling>
          <c:orientation val="minMax"/>
          <c:max val="60"/>
        </c:scaling>
        <c:delete val="0"/>
        <c:axPos val="l"/>
        <c:majorGridlines/>
        <c:numFmt formatCode="General" sourceLinked="1"/>
        <c:majorTickMark val="out"/>
        <c:minorTickMark val="none"/>
        <c:tickLblPos val="nextTo"/>
        <c:txPr>
          <a:bodyPr rot="0" vert="horz"/>
          <a:lstStyle/>
          <a:p>
            <a:pPr>
              <a:defRPr/>
            </a:pPr>
            <a:endParaRPr lang="sk-SK"/>
          </a:p>
        </c:txPr>
        <c:crossAx val="314585088"/>
        <c:crosses val="autoZero"/>
        <c:crossBetween val="between"/>
      </c:valAx>
    </c:plotArea>
    <c:legend>
      <c:legendPos val="b"/>
      <c:layout>
        <c:manualLayout>
          <c:xMode val="edge"/>
          <c:yMode val="edge"/>
          <c:x val="0.12773109243697689"/>
          <c:y val="0.68807339449541871"/>
          <c:w val="0.73277310924369765"/>
          <c:h val="8.8685015290520267E-2"/>
        </c:manualLayout>
      </c:layout>
      <c:overlay val="0"/>
      <c:txPr>
        <a:bodyPr/>
        <a:lstStyle/>
        <a:p>
          <a:pPr>
            <a:defRPr sz="1400"/>
          </a:pPr>
          <a:endParaRPr lang="sk-SK"/>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0.109</cdr:x>
      <cdr:y>0.06775</cdr:y>
    </cdr:from>
    <cdr:to>
      <cdr:x>0.8845</cdr:x>
      <cdr:y>0.06775</cdr:y>
    </cdr:to>
    <cdr:sp macro="" textlink="">
      <cdr:nvSpPr>
        <cdr:cNvPr id="1025" name="AutoShape 1"/>
        <cdr:cNvSpPr>
          <a:spLocks xmlns:a="http://schemas.openxmlformats.org/drawingml/2006/main" noChangeShapeType="1"/>
        </cdr:cNvSpPr>
      </cdr:nvSpPr>
      <cdr:spPr bwMode="auto">
        <a:xfrm xmlns:a="http://schemas.openxmlformats.org/drawingml/2006/main">
          <a:off x="617744" y="211019"/>
          <a:ext cx="4395049" cy="0"/>
        </a:xfrm>
        <a:prstGeom xmlns:a="http://schemas.openxmlformats.org/drawingml/2006/main" prst="straightConnector1">
          <a:avLst/>
        </a:prstGeom>
        <a:noFill xmlns:a="http://schemas.openxmlformats.org/drawingml/2006/main"/>
        <a:ln xmlns:a="http://schemas.openxmlformats.org/drawingml/2006/main" w="22225">
          <a:solidFill>
            <a:srgbClr val="FF0000"/>
          </a:solidFill>
          <a:round/>
          <a:headEnd/>
          <a:tailEnd/>
        </a:ln>
      </cdr:spPr>
    </cdr:sp>
  </cdr:relSizeAnchor>
  <cdr:relSizeAnchor xmlns:cdr="http://schemas.openxmlformats.org/drawingml/2006/chartDrawing">
    <cdr:from>
      <cdr:x>0.1155</cdr:x>
      <cdr:y>0.3775</cdr:y>
    </cdr:from>
    <cdr:to>
      <cdr:x>0.892</cdr:x>
      <cdr:y>0.3775</cdr:y>
    </cdr:to>
    <cdr:sp macro="" textlink="">
      <cdr:nvSpPr>
        <cdr:cNvPr id="1026" name="AutoShape 2"/>
        <cdr:cNvSpPr>
          <a:spLocks xmlns:a="http://schemas.openxmlformats.org/drawingml/2006/main" noChangeShapeType="1"/>
        </cdr:cNvSpPr>
      </cdr:nvSpPr>
      <cdr:spPr bwMode="auto">
        <a:xfrm xmlns:a="http://schemas.openxmlformats.org/drawingml/2006/main">
          <a:off x="654582" y="1175790"/>
          <a:ext cx="4400717" cy="0"/>
        </a:xfrm>
        <a:prstGeom xmlns:a="http://schemas.openxmlformats.org/drawingml/2006/main" prst="straightConnector1">
          <a:avLst/>
        </a:prstGeom>
        <a:noFill xmlns:a="http://schemas.openxmlformats.org/drawingml/2006/main"/>
        <a:ln xmlns:a="http://schemas.openxmlformats.org/drawingml/2006/main" w="22225">
          <a:solidFill>
            <a:srgbClr val="FF0000"/>
          </a:solidFill>
          <a:prstDash val="sysDot"/>
          <a:round/>
          <a:headEnd/>
          <a:tailEnd/>
        </a:ln>
      </cdr:spPr>
    </cdr:sp>
  </cdr:relSizeAnchor>
  <cdr:relSizeAnchor xmlns:cdr="http://schemas.openxmlformats.org/drawingml/2006/chartDrawing">
    <cdr:from>
      <cdr:x>0.17275</cdr:x>
      <cdr:y>0.8015</cdr:y>
    </cdr:from>
    <cdr:to>
      <cdr:x>0.92691</cdr:x>
      <cdr:y>0.88221</cdr:y>
    </cdr:to>
    <cdr:sp macro="" textlink="">
      <cdr:nvSpPr>
        <cdr:cNvPr id="1028" name="Text Box 4"/>
        <cdr:cNvSpPr txBox="1">
          <a:spLocks xmlns:a="http://schemas.openxmlformats.org/drawingml/2006/main" noChangeArrowheads="1"/>
        </cdr:cNvSpPr>
      </cdr:nvSpPr>
      <cdr:spPr bwMode="auto">
        <a:xfrm xmlns:a="http://schemas.openxmlformats.org/drawingml/2006/main">
          <a:off x="990556" y="3046081"/>
          <a:ext cx="4324393" cy="3067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sk-SK" sz="1400" b="1" i="0" strike="noStrike">
              <a:solidFill>
                <a:srgbClr val="000000"/>
              </a:solidFill>
              <a:latin typeface="Times New Roman" pitchFamily="18" charset="0"/>
              <a:cs typeface="Times New Roman" pitchFamily="18" charset="0"/>
            </a:rPr>
            <a:t>maximálna suma</a:t>
          </a:r>
          <a:r>
            <a:rPr lang="sk-SK" sz="1400" b="1" i="0" strike="noStrike" baseline="0">
              <a:solidFill>
                <a:srgbClr val="000000"/>
              </a:solidFill>
              <a:latin typeface="Times New Roman" pitchFamily="18" charset="0"/>
              <a:cs typeface="Times New Roman" pitchFamily="18" charset="0"/>
            </a:rPr>
            <a:t> dlhu </a:t>
          </a:r>
          <a:endParaRPr lang="sk-SK" sz="14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0.06541</cdr:x>
      <cdr:y>0.84378</cdr:y>
    </cdr:from>
    <cdr:to>
      <cdr:x>0.15516</cdr:x>
      <cdr:y>0.84378</cdr:y>
    </cdr:to>
    <cdr:sp macro="" textlink="">
      <cdr:nvSpPr>
        <cdr:cNvPr id="1029" name="AutoShape 5"/>
        <cdr:cNvSpPr>
          <a:spLocks xmlns:a="http://schemas.openxmlformats.org/drawingml/2006/main" noChangeShapeType="1"/>
        </cdr:cNvSpPr>
      </cdr:nvSpPr>
      <cdr:spPr bwMode="auto">
        <a:xfrm xmlns:a="http://schemas.openxmlformats.org/drawingml/2006/main">
          <a:off x="375058" y="3206769"/>
          <a:ext cx="514631" cy="0"/>
        </a:xfrm>
        <a:prstGeom xmlns:a="http://schemas.openxmlformats.org/drawingml/2006/main" prst="straightConnector1">
          <a:avLst/>
        </a:prstGeom>
        <a:noFill xmlns:a="http://schemas.openxmlformats.org/drawingml/2006/main"/>
        <a:ln xmlns:a="http://schemas.openxmlformats.org/drawingml/2006/main" w="22225">
          <a:solidFill>
            <a:srgbClr val="FF0000"/>
          </a:solidFill>
          <a:round/>
          <a:headEnd/>
          <a:tailEnd/>
        </a:ln>
      </cdr:spPr>
    </cdr:sp>
  </cdr:relSizeAnchor>
  <cdr:relSizeAnchor xmlns:cdr="http://schemas.openxmlformats.org/drawingml/2006/chartDrawing">
    <cdr:from>
      <cdr:x>0.17275</cdr:x>
      <cdr:y>0.9005</cdr:y>
    </cdr:from>
    <cdr:to>
      <cdr:x>0.96345</cdr:x>
      <cdr:y>0.97033</cdr:y>
    </cdr:to>
    <cdr:sp macro="" textlink="">
      <cdr:nvSpPr>
        <cdr:cNvPr id="1032" name="Text Box 8"/>
        <cdr:cNvSpPr txBox="1">
          <a:spLocks xmlns:a="http://schemas.openxmlformats.org/drawingml/2006/main" noChangeArrowheads="1"/>
        </cdr:cNvSpPr>
      </cdr:nvSpPr>
      <cdr:spPr bwMode="auto">
        <a:xfrm xmlns:a="http://schemas.openxmlformats.org/drawingml/2006/main">
          <a:off x="990556" y="3422328"/>
          <a:ext cx="4533943" cy="2653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7432" rIns="0" bIns="0" anchor="ctr" upright="1"/>
        <a:lstStyle xmlns:a="http://schemas.openxmlformats.org/drawingml/2006/main"/>
        <a:p xmlns:a="http://schemas.openxmlformats.org/drawingml/2006/main">
          <a:pPr algn="l" rtl="1">
            <a:defRPr sz="1000"/>
          </a:pPr>
          <a:r>
            <a:rPr lang="sk-SK" sz="1400" b="1">
              <a:effectLst/>
              <a:latin typeface="Times New Roman" pitchFamily="18" charset="0"/>
              <a:ea typeface="+mn-ea"/>
              <a:cs typeface="Times New Roman" pitchFamily="18" charset="0"/>
            </a:rPr>
            <a:t>maximálna</a:t>
          </a:r>
          <a:r>
            <a:rPr lang="sk-SK" sz="1000">
              <a:effectLst/>
              <a:latin typeface="+mn-lt"/>
              <a:ea typeface="+mn-ea"/>
              <a:cs typeface="+mn-cs"/>
            </a:rPr>
            <a:t> </a:t>
          </a:r>
          <a:r>
            <a:rPr lang="sk-SK" sz="1400" b="1">
              <a:effectLst/>
              <a:latin typeface="Times New Roman" pitchFamily="18" charset="0"/>
              <a:ea typeface="+mn-ea"/>
              <a:cs typeface="Times New Roman" pitchFamily="18" charset="0"/>
            </a:rPr>
            <a:t>suma</a:t>
          </a:r>
          <a:r>
            <a:rPr lang="sk-SK" sz="1000">
              <a:effectLst/>
              <a:latin typeface="+mn-lt"/>
              <a:ea typeface="+mn-ea"/>
              <a:cs typeface="+mn-cs"/>
            </a:rPr>
            <a:t> </a:t>
          </a:r>
          <a:r>
            <a:rPr lang="sk-SK" sz="1400" b="1">
              <a:effectLst/>
              <a:latin typeface="Times New Roman" pitchFamily="18" charset="0"/>
              <a:ea typeface="+mn-ea"/>
              <a:cs typeface="Times New Roman" pitchFamily="18" charset="0"/>
            </a:rPr>
            <a:t>ročných</a:t>
          </a:r>
          <a:r>
            <a:rPr lang="sk-SK" sz="1000">
              <a:effectLst/>
              <a:latin typeface="+mn-lt"/>
              <a:ea typeface="+mn-ea"/>
              <a:cs typeface="+mn-cs"/>
            </a:rPr>
            <a:t> </a:t>
          </a:r>
          <a:r>
            <a:rPr lang="sk-SK" sz="1400" b="1">
              <a:effectLst/>
              <a:latin typeface="Times New Roman" pitchFamily="18" charset="0"/>
              <a:ea typeface="+mn-ea"/>
              <a:cs typeface="Times New Roman" pitchFamily="18" charset="0"/>
            </a:rPr>
            <a:t>splátok </a:t>
          </a:r>
          <a:endParaRPr lang="sk-SK" sz="14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0.06209</cdr:x>
      <cdr:y>0.93711</cdr:y>
    </cdr:from>
    <cdr:to>
      <cdr:x>0.15184</cdr:x>
      <cdr:y>0.93711</cdr:y>
    </cdr:to>
    <cdr:sp macro="" textlink="">
      <cdr:nvSpPr>
        <cdr:cNvPr id="1033" name="AutoShape 9"/>
        <cdr:cNvSpPr>
          <a:spLocks xmlns:a="http://schemas.openxmlformats.org/drawingml/2006/main" noChangeShapeType="1"/>
        </cdr:cNvSpPr>
      </cdr:nvSpPr>
      <cdr:spPr bwMode="auto">
        <a:xfrm xmlns:a="http://schemas.openxmlformats.org/drawingml/2006/main">
          <a:off x="356001" y="3561454"/>
          <a:ext cx="514631" cy="0"/>
        </a:xfrm>
        <a:prstGeom xmlns:a="http://schemas.openxmlformats.org/drawingml/2006/main" prst="straightConnector1">
          <a:avLst/>
        </a:prstGeom>
        <a:noFill xmlns:a="http://schemas.openxmlformats.org/drawingml/2006/main"/>
        <a:ln xmlns:a="http://schemas.openxmlformats.org/drawingml/2006/main" w="22225">
          <a:solidFill>
            <a:srgbClr val="FF0000"/>
          </a:solidFill>
          <a:prstDash val="sysDot"/>
          <a:round/>
          <a:headEnd/>
          <a:tailEnd/>
        </a:ln>
      </cdr:spPr>
    </cdr: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69CC-6100-4CC0-B487-929F3176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1440</Words>
  <Characters>8214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A</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A</dc:creator>
  <cp:lastModifiedBy>kamenicky</cp:lastModifiedBy>
  <cp:revision>13</cp:revision>
  <cp:lastPrinted>2015-12-04T09:44:00Z</cp:lastPrinted>
  <dcterms:created xsi:type="dcterms:W3CDTF">2024-11-28T08:42:00Z</dcterms:created>
  <dcterms:modified xsi:type="dcterms:W3CDTF">2024-12-02T12:53:00Z</dcterms:modified>
</cp:coreProperties>
</file>